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47"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1900" w:type="dxa"/>
        <w:tblCellMar>
          <w:top w:w="0" w:type="dxa"/>
          <w:left w:w="0" w:type="dxa"/>
          <w:bottom w:w="0" w:type="dxa"/>
          <w:right w:w="0" w:type="dxa"/>
        </w:tblCellMar>
      </w:tblPr>
      <w:tr>
        <w:trPr>
          <w:trHeight w:val="393"/>
        </w:trPr>
        <w:tc>
          <w:tcPr>
            <w:tcW w:w="1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20" w:type="dxa"/>
            <w:vAlign w:val="bottom"/>
            <w:gridSpan w:val="2"/>
          </w:tcPr>
          <w:p>
            <w:pPr>
              <w:jc w:val="center"/>
              <w:ind w:right="2208"/>
              <w:spacing w:after="0"/>
              <w:rPr>
                <w:sz w:val="20"/>
                <w:szCs w:val="20"/>
                <w:color w:val="auto"/>
              </w:rPr>
            </w:pPr>
            <w:r>
              <w:rPr>
                <w:rFonts w:ascii="Times New Roman" w:cs="Times New Roman" w:eastAsia="Times New Roman" w:hAnsi="Times New Roman"/>
                <w:sz w:val="32"/>
                <w:szCs w:val="32"/>
                <w:b w:val="1"/>
                <w:bCs w:val="1"/>
                <w:color w:val="auto"/>
              </w:rPr>
              <w:t>Gogo Inc.</w:t>
            </w:r>
          </w:p>
        </w:tc>
      </w:tr>
      <w:tr>
        <w:trPr>
          <w:trHeight w:val="234"/>
        </w:trPr>
        <w:tc>
          <w:tcPr>
            <w:tcW w:w="1800" w:type="dxa"/>
            <w:vAlign w:val="bottom"/>
          </w:tcPr>
          <w:p>
            <w:pPr>
              <w:spacing w:after="0"/>
              <w:rPr>
                <w:sz w:val="20"/>
                <w:szCs w:val="20"/>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15"/>
        </w:trPr>
        <w:tc>
          <w:tcPr>
            <w:tcW w:w="180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20" w:type="dxa"/>
            <w:vAlign w:val="bottom"/>
            <w:gridSpan w:val="3"/>
          </w:tcPr>
          <w:p>
            <w:pPr>
              <w:jc w:val="center"/>
              <w:ind w:left="4177"/>
              <w:spacing w:after="0"/>
              <w:rPr>
                <w:sz w:val="20"/>
                <w:szCs w:val="20"/>
                <w:color w:val="auto"/>
              </w:rPr>
            </w:pPr>
            <w:r>
              <w:rPr>
                <w:rFonts w:ascii="Times New Roman" w:cs="Times New Roman" w:eastAsia="Times New Roman" w:hAnsi="Times New Roman"/>
                <w:sz w:val="18"/>
                <w:szCs w:val="18"/>
                <w:b w:val="1"/>
                <w:bCs w:val="1"/>
                <w:color w:val="auto"/>
                <w:w w:val="98"/>
              </w:rPr>
              <w:t>27-1650905</w:t>
            </w:r>
          </w:p>
        </w:tc>
      </w:tr>
      <w:tr>
        <w:trPr>
          <w:trHeight w:val="148"/>
        </w:trPr>
        <w:tc>
          <w:tcPr>
            <w:tcW w:w="180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80" w:type="dxa"/>
            <w:vAlign w:val="bottom"/>
          </w:tcPr>
          <w:p>
            <w:pPr>
              <w:jc w:val="center"/>
              <w:ind w:left="114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800" w:type="dxa"/>
            <w:vAlign w:val="bottom"/>
          </w:tcPr>
          <w:p>
            <w:pPr>
              <w:jc w:val="center"/>
              <w:ind w:right="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8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8"/>
        </w:trPr>
        <w:tc>
          <w:tcPr>
            <w:tcW w:w="1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280" w:type="dxa"/>
            <w:vAlign w:val="bottom"/>
          </w:tcPr>
          <w:p>
            <w:pPr>
              <w:spacing w:after="0"/>
              <w:rPr>
                <w:sz w:val="6"/>
                <w:szCs w:val="6"/>
                <w:color w:val="auto"/>
              </w:rPr>
            </w:pPr>
          </w:p>
        </w:tc>
      </w:tr>
      <w:tr>
        <w:trPr>
          <w:trHeight w:val="268"/>
        </w:trPr>
        <w:tc>
          <w:tcPr>
            <w:tcW w:w="1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520" w:type="dxa"/>
            <w:vAlign w:val="bottom"/>
            <w:gridSpan w:val="2"/>
          </w:tcPr>
          <w:p>
            <w:pPr>
              <w:jc w:val="center"/>
              <w:ind w:right="2208"/>
              <w:spacing w:after="0"/>
              <w:rPr>
                <w:sz w:val="20"/>
                <w:szCs w:val="20"/>
                <w:color w:val="auto"/>
              </w:rPr>
            </w:pPr>
            <w:r>
              <w:rPr>
                <w:rFonts w:ascii="Times New Roman" w:cs="Times New Roman" w:eastAsia="Times New Roman" w:hAnsi="Times New Roman"/>
                <w:sz w:val="18"/>
                <w:szCs w:val="18"/>
                <w:b w:val="1"/>
                <w:bCs w:val="1"/>
                <w:color w:val="auto"/>
              </w:rPr>
              <w:t>105 Edgeview Dr., Suite 300</w:t>
            </w:r>
          </w:p>
        </w:tc>
      </w:tr>
      <w:tr>
        <w:trPr>
          <w:trHeight w:val="216"/>
        </w:trPr>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20" w:type="dxa"/>
            <w:vAlign w:val="bottom"/>
            <w:gridSpan w:val="2"/>
          </w:tcPr>
          <w:p>
            <w:pPr>
              <w:jc w:val="center"/>
              <w:ind w:right="2208"/>
              <w:spacing w:after="0"/>
              <w:rPr>
                <w:sz w:val="20"/>
                <w:szCs w:val="20"/>
                <w:color w:val="auto"/>
              </w:rPr>
            </w:pPr>
            <w:r>
              <w:rPr>
                <w:rFonts w:ascii="Times New Roman" w:cs="Times New Roman" w:eastAsia="Times New Roman" w:hAnsi="Times New Roman"/>
                <w:sz w:val="18"/>
                <w:szCs w:val="18"/>
                <w:b w:val="1"/>
                <w:bCs w:val="1"/>
                <w:color w:val="auto"/>
                <w:w w:val="99"/>
              </w:rPr>
              <w:t>Broomfield, CO 80021</w:t>
            </w:r>
          </w:p>
        </w:tc>
      </w:tr>
      <w:tr>
        <w:trPr>
          <w:trHeight w:val="188"/>
        </w:trPr>
        <w:tc>
          <w:tcPr>
            <w:tcW w:w="1800" w:type="dxa"/>
            <w:vAlign w:val="bottom"/>
          </w:tcPr>
          <w:p>
            <w:pPr>
              <w:spacing w:after="0"/>
              <w:rPr>
                <w:sz w:val="16"/>
                <w:szCs w:val="16"/>
                <w:color w:val="auto"/>
              </w:rPr>
            </w:pPr>
          </w:p>
        </w:tc>
        <w:tc>
          <w:tcPr>
            <w:tcW w:w="5320" w:type="dxa"/>
            <w:vAlign w:val="bottom"/>
            <w:gridSpan w:val="3"/>
          </w:tcPr>
          <w:p>
            <w:pPr>
              <w:jc w:val="center"/>
              <w:ind w:right="1408"/>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284"/>
        </w:trPr>
        <w:tc>
          <w:tcPr>
            <w:tcW w:w="1800" w:type="dxa"/>
            <w:vAlign w:val="bottom"/>
          </w:tcPr>
          <w:p>
            <w:pPr>
              <w:spacing w:after="0"/>
              <w:rPr>
                <w:sz w:val="24"/>
                <w:szCs w:val="24"/>
                <w:color w:val="auto"/>
              </w:rPr>
            </w:pPr>
          </w:p>
        </w:tc>
        <w:tc>
          <w:tcPr>
            <w:tcW w:w="3040" w:type="dxa"/>
            <w:vAlign w:val="bottom"/>
            <w:gridSpan w:val="2"/>
          </w:tcPr>
          <w:p>
            <w:pPr>
              <w:jc w:val="center"/>
              <w:ind w:left="717"/>
              <w:spacing w:after="0"/>
              <w:rPr>
                <w:sz w:val="20"/>
                <w:szCs w:val="20"/>
                <w:color w:val="auto"/>
              </w:rPr>
            </w:pPr>
            <w:r>
              <w:rPr>
                <w:rFonts w:ascii="Times New Roman" w:cs="Times New Roman" w:eastAsia="Times New Roman" w:hAnsi="Times New Roman"/>
                <w:sz w:val="18"/>
                <w:szCs w:val="18"/>
                <w:b w:val="1"/>
                <w:bCs w:val="1"/>
                <w:color w:val="auto"/>
                <w:w w:val="99"/>
              </w:rPr>
              <w:t>(303) 301-3271</w:t>
            </w:r>
          </w:p>
        </w:tc>
        <w:tc>
          <w:tcPr>
            <w:tcW w:w="2280" w:type="dxa"/>
            <w:vAlign w:val="bottom"/>
          </w:tcPr>
          <w:p>
            <w:pPr>
              <w:spacing w:after="0"/>
              <w:rPr>
                <w:sz w:val="24"/>
                <w:szCs w:val="24"/>
                <w:color w:val="auto"/>
              </w:rPr>
            </w:pPr>
          </w:p>
        </w:tc>
      </w:tr>
      <w:tr>
        <w:trPr>
          <w:trHeight w:val="188"/>
        </w:trPr>
        <w:tc>
          <w:tcPr>
            <w:tcW w:w="1800" w:type="dxa"/>
            <w:vAlign w:val="bottom"/>
          </w:tcPr>
          <w:p>
            <w:pPr>
              <w:spacing w:after="0"/>
              <w:rPr>
                <w:sz w:val="16"/>
                <w:szCs w:val="16"/>
                <w:color w:val="auto"/>
              </w:rPr>
            </w:pPr>
          </w:p>
        </w:tc>
        <w:tc>
          <w:tcPr>
            <w:tcW w:w="5320" w:type="dxa"/>
            <w:vAlign w:val="bottom"/>
            <w:gridSpan w:val="3"/>
          </w:tcPr>
          <w:p>
            <w:pPr>
              <w:jc w:val="center"/>
              <w:ind w:right="13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7"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3360" w:type="dxa"/>
            <w:vAlign w:val="bottom"/>
            <w:gridSpan w:val="2"/>
          </w:tcPr>
          <w:p>
            <w:pPr>
              <w:jc w:val="center"/>
              <w:ind w:right="2320"/>
              <w:spacing w:after="0"/>
              <w:rPr>
                <w:sz w:val="20"/>
                <w:szCs w:val="20"/>
                <w:color w:val="auto"/>
              </w:rPr>
            </w:pPr>
            <w:r>
              <w:rPr>
                <w:rFonts w:ascii="Times New Roman" w:cs="Times New Roman" w:eastAsia="Times New Roman" w:hAnsi="Times New Roman"/>
                <w:sz w:val="14"/>
                <w:szCs w:val="14"/>
                <w:color w:val="auto"/>
              </w:rPr>
              <w:t>Title of each class</w:t>
            </w:r>
          </w:p>
        </w:tc>
        <w:tc>
          <w:tcPr>
            <w:tcW w:w="18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gridSpan w:val="2"/>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119"/>
        </w:trPr>
        <w:tc>
          <w:tcPr>
            <w:tcW w:w="4120" w:type="dxa"/>
            <w:vAlign w:val="bottom"/>
            <w:gridSpan w:val="3"/>
          </w:tcPr>
          <w:p>
            <w:pPr>
              <w:jc w:val="center"/>
              <w:ind w:right="1580"/>
              <w:spacing w:after="0" w:line="119" w:lineRule="exact"/>
              <w:rPr>
                <w:sz w:val="20"/>
                <w:szCs w:val="20"/>
                <w:color w:val="auto"/>
              </w:rPr>
            </w:pPr>
            <w:r>
              <w:rPr>
                <w:rFonts w:ascii="Times New Roman" w:cs="Times New Roman" w:eastAsia="Times New Roman" w:hAnsi="Times New Roman"/>
                <w:sz w:val="13"/>
                <w:szCs w:val="13"/>
                <w:color w:val="auto"/>
              </w:rPr>
              <w:t>Common stock, par value $0.0001 per share</w:t>
            </w:r>
          </w:p>
        </w:tc>
        <w:tc>
          <w:tcPr>
            <w:tcW w:w="1880" w:type="dxa"/>
            <w:vAlign w:val="bottom"/>
            <w:gridSpan w:val="2"/>
          </w:tcPr>
          <w:p>
            <w:pPr>
              <w:jc w:val="center"/>
              <w:ind w:right="780"/>
              <w:spacing w:after="0" w:line="119" w:lineRule="exact"/>
              <w:rPr>
                <w:sz w:val="20"/>
                <w:szCs w:val="20"/>
                <w:color w:val="auto"/>
              </w:rPr>
            </w:pPr>
            <w:r>
              <w:rPr>
                <w:rFonts w:ascii="Times New Roman" w:cs="Times New Roman" w:eastAsia="Times New Roman" w:hAnsi="Times New Roman"/>
                <w:sz w:val="13"/>
                <w:szCs w:val="13"/>
                <w:color w:val="auto"/>
              </w:rPr>
              <w:t>GOGO</w:t>
            </w:r>
          </w:p>
        </w:tc>
        <w:tc>
          <w:tcPr>
            <w:tcW w:w="800" w:type="dxa"/>
            <w:vAlign w:val="bottom"/>
          </w:tcPr>
          <w:p>
            <w:pPr>
              <w:spacing w:after="0"/>
              <w:rPr>
                <w:sz w:val="10"/>
                <w:szCs w:val="10"/>
                <w:color w:val="auto"/>
              </w:rPr>
            </w:pPr>
          </w:p>
        </w:tc>
        <w:tc>
          <w:tcPr>
            <w:tcW w:w="25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NASDAQ Global Select Market</w:t>
            </w:r>
          </w:p>
        </w:tc>
      </w:tr>
      <w:tr>
        <w:trPr>
          <w:trHeight w:val="188"/>
        </w:trPr>
        <w:tc>
          <w:tcPr>
            <w:tcW w:w="412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color w:val="auto"/>
              </w:rPr>
              <w:t>GOGO</w:t>
            </w:r>
          </w:p>
        </w:tc>
        <w:tc>
          <w:tcPr>
            <w:tcW w:w="8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2" w:lineRule="exact"/>
        <w:rPr>
          <w:sz w:val="24"/>
          <w:szCs w:val="24"/>
          <w:color w:val="auto"/>
        </w:rPr>
      </w:pPr>
    </w:p>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700" w:val="left"/>
        </w:tabs>
        <w:rPr>
          <w:sz w:val="20"/>
          <w:szCs w:val="20"/>
          <w:color w:val="auto"/>
        </w:rPr>
      </w:pP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2" w:lineRule="exact"/>
        <w:rPr>
          <w:sz w:val="24"/>
          <w:szCs w:val="24"/>
          <w:color w:val="auto"/>
        </w:rPr>
      </w:pPr>
    </w:p>
    <w:p>
      <w:pPr>
        <w:spacing w:after="0" w:line="161" w:lineRule="exact"/>
        <w:tabs>
          <w:tab w:leader="none" w:pos="898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460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right="2380"/>
        <w:spacing w:after="0" w:line="225"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30, 2026, 135,637,641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0" w:right="3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40" w:type="dxa"/>
            <w:vAlign w:val="bottom"/>
            <w:gridSpan w:val="2"/>
            <w:vMerge w:val="continue"/>
          </w:tcPr>
          <w:p>
            <w:pPr>
              <w:spacing w:after="0"/>
              <w:rPr>
                <w:sz w:val="14"/>
                <w:szCs w:val="14"/>
                <w:color w:val="auto"/>
              </w:rPr>
            </w:pPr>
          </w:p>
        </w:tc>
        <w:tc>
          <w:tcPr>
            <w:tcW w:w="9640" w:type="dxa"/>
            <w:vAlign w:val="bottom"/>
            <w:gridSpan w:val="16"/>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Stockholders’ Equity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20" w:type="dxa"/>
            <w:vAlign w:val="bottom"/>
            <w:tcBorders>
              <w:left w:val="single" w:sz="8" w:color="0000FF"/>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3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79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3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669"/>
        </w:trPr>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gridSpan w:val="1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20" w:type="dxa"/>
            <w:vAlign w:val="bottom"/>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20" w:type="dxa"/>
            <w:vAlign w:val="bottom"/>
          </w:tcPr>
          <w:p>
            <w:pPr>
              <w:jc w:val="center"/>
              <w:ind w:left="333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140" w:type="dxa"/>
            <w:vAlign w:val="bottom"/>
          </w:tcPr>
          <w:p>
            <w:pPr>
              <w:spacing w:after="0"/>
              <w:rPr>
                <w:sz w:val="20"/>
                <w:szCs w:val="20"/>
                <w:color w:val="auto"/>
              </w:rPr>
            </w:pPr>
          </w:p>
        </w:tc>
        <w:tc>
          <w:tcPr>
            <w:tcW w:w="16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4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7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 of allowances of $9,433 and $6,783, respectively</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73,672</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422,252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216,137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193,187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54,211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non-current assets, net of allowances of $771 and $538, respectively</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197,720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822,949</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1,245,201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1,303,772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108,482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229,686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892,967</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933,415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1,122,653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500,000,000 shares authorized at September 30, 2026 and</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135,637,641 shares issued and outstanding at September 30, 2026; and</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134,511,275 shares issued and outstanding at December 31, 2025</w:t>
            </w: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(1,179,346)</w:t>
            </w:r>
          </w:p>
        </w:tc>
        <w:tc>
          <w:tcPr>
            <w:tcW w:w="1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(1,187,222)</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122,548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1,245,201</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-4671060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-3556635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-3265170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-3248025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-2416810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-1567815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5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10"/>
        </w:trPr>
        <w:tc>
          <w:tcPr>
            <w:tcW w:w="5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182,729</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189,956</w:t>
            </w:r>
          </w:p>
        </w:tc>
        <w:tc>
          <w:tcPr>
            <w:tcW w:w="1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561,733</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582,533</w:t>
            </w:r>
          </w:p>
        </w:tc>
        <w:tc>
          <w:tcPr>
            <w:tcW w:w="12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Equipment revenue</w:t>
            </w:r>
          </w:p>
        </w:tc>
        <w:tc>
          <w:tcPr>
            <w:tcW w:w="5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662,364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679,930</w:t>
            </w:r>
          </w:p>
        </w:tc>
        <w:tc>
          <w:tcPr>
            <w:tcW w:w="120" w:type="dxa"/>
            <w:vAlign w:val="bottom"/>
          </w:tcPr>
          <w:p>
            <w:pPr>
              <w:spacing w:after="0"/>
              <w:rPr>
                <w:sz w:val="18"/>
                <w:szCs w:val="18"/>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277,023</w:t>
            </w: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88,039</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42,078</w:t>
            </w: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42,415</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86,010</w:t>
            </w:r>
          </w:p>
        </w:tc>
        <w:tc>
          <w:tcPr>
            <w:tcW w:w="120" w:type="dxa"/>
            <w:vAlign w:val="bottom"/>
          </w:tcPr>
          <w:p>
            <w:pPr>
              <w:spacing w:after="0"/>
              <w:rPr>
                <w:sz w:val="18"/>
                <w:szCs w:val="18"/>
                <w:color w:val="auto"/>
              </w:rPr>
            </w:pPr>
          </w:p>
        </w:tc>
      </w:tr>
      <w:tr>
        <w:trPr>
          <w:trHeight w:val="216"/>
        </w:trPr>
        <w:tc>
          <w:tcPr>
            <w:tcW w:w="5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583,876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580,039</w:t>
            </w:r>
          </w:p>
        </w:tc>
        <w:tc>
          <w:tcPr>
            <w:tcW w:w="120" w:type="dxa"/>
            <w:vAlign w:val="bottom"/>
          </w:tcPr>
          <w:p>
            <w:pPr>
              <w:spacing w:after="0"/>
              <w:rPr>
                <w:sz w:val="18"/>
                <w:szCs w:val="18"/>
                <w:color w:val="auto"/>
              </w:rPr>
            </w:pPr>
          </w:p>
        </w:tc>
      </w:tr>
      <w:tr>
        <w:trPr>
          <w:trHeight w:val="20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(2,746)</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(3,251)</w:t>
            </w: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(1,811)</w:t>
            </w:r>
          </w:p>
        </w:tc>
      </w:tr>
      <w:tr>
        <w:trPr>
          <w:trHeight w:val="210"/>
        </w:trPr>
        <w:tc>
          <w:tcPr>
            <w:tcW w:w="52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5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64,488</w:t>
            </w:r>
          </w:p>
        </w:tc>
        <w:tc>
          <w:tcPr>
            <w:tcW w:w="120" w:type="dxa"/>
            <w:vAlign w:val="bottom"/>
            <w:tcBorders>
              <w:top w:val="single" w:sz="8" w:color="CFF0FC"/>
            </w:tcBorders>
          </w:tcPr>
          <w:p>
            <w:pPr>
              <w:spacing w:after="0"/>
              <w:rPr>
                <w:sz w:val="18"/>
                <w:szCs w:val="18"/>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(6,643)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(3,200)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shd w:val="clear" w:color="auto" w:fill="CFF0FC"/>
          </w:tcPr>
          <w:p>
            <w:pPr>
              <w:spacing w:after="0"/>
              <w:rPr>
                <w:sz w:val="21"/>
                <w:szCs w:val="21"/>
                <w:color w:val="auto"/>
              </w:rPr>
            </w:pPr>
          </w:p>
        </w:tc>
      </w:tr>
      <w:tr>
        <w:trPr>
          <w:trHeight w:val="197"/>
        </w:trPr>
        <w:tc>
          <w:tcPr>
            <w:tcW w:w="5280" w:type="dxa"/>
            <w:vAlign w:val="bottom"/>
            <w:tcBorders>
              <w:top w:val="single" w:sz="8" w:color="CFF0FC"/>
            </w:tcBorders>
          </w:tcPr>
          <w:p>
            <w:pPr>
              <w:spacing w:after="0"/>
              <w:rPr>
                <w:sz w:val="17"/>
                <w:szCs w:val="17"/>
                <w:color w:val="auto"/>
              </w:rPr>
            </w:pPr>
          </w:p>
        </w:tc>
        <w:tc>
          <w:tcPr>
            <w:tcW w:w="5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 per share:</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r>
      <w:tr>
        <w:trPr>
          <w:trHeight w:val="216"/>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6"/>
        </w:trPr>
        <w:tc>
          <w:tcPr>
            <w:tcW w:w="5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136,636</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134,657</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133,403</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197"/>
        </w:trPr>
        <w:tc>
          <w:tcPr>
            <w:tcW w:w="52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136,636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134,657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136,974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136,640</w:t>
            </w:r>
          </w:p>
        </w:tc>
        <w:tc>
          <w:tcPr>
            <w:tcW w:w="12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-3848100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-3848100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-3848100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-3848100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-2733675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-2733675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-2733675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-2733675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-2442210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-2442210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-2442210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-2442210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-1610995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-1610995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-1610995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-1610995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-1036320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-1019175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-1036320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-1019175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-1036320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-1019175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(3,200)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 hedges:</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Amount recognized in other comprehensive income (loss)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tcPr>
          <w:p>
            <w:pPr>
              <w:spacing w:after="0"/>
              <w:rPr>
                <w:sz w:val="18"/>
                <w:szCs w:val="18"/>
                <w:color w:val="auto"/>
              </w:rPr>
            </w:pPr>
          </w:p>
        </w:tc>
      </w:tr>
      <w:tr>
        <w:trPr>
          <w:trHeight w:val="209"/>
        </w:trPr>
        <w:tc>
          <w:tcPr>
            <w:tcW w:w="5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(5,576)</w:t>
            </w:r>
          </w:p>
        </w:tc>
      </w:tr>
      <w:tr>
        <w:trPr>
          <w:trHeight w:val="20"/>
        </w:trPr>
        <w:tc>
          <w:tcPr>
            <w:tcW w:w="516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(4,607)</w:t>
            </w:r>
          </w:p>
        </w:tc>
      </w:tr>
      <w:tr>
        <w:trPr>
          <w:trHeight w:val="20"/>
        </w:trPr>
        <w:tc>
          <w:tcPr>
            <w:tcW w:w="5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(3,197)</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2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-316865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-316865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-316865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878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0" w:type="dxa"/>
        <w:tblCellMar>
          <w:top w:w="0" w:type="dxa"/>
          <w:left w:w="0" w:type="dxa"/>
          <w:bottom w:w="0" w:type="dxa"/>
          <w:right w:w="0" w:type="dxa"/>
        </w:tblCellMar>
      </w:tblPr>
      <w:tr>
        <w:trPr>
          <w:trHeight w:val="142"/>
        </w:trPr>
        <w:tc>
          <w:tcPr>
            <w:tcW w:w="6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24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7,876</w:t>
            </w:r>
          </w:p>
        </w:tc>
        <w:tc>
          <w:tcPr>
            <w:tcW w:w="260" w:type="dxa"/>
            <w:vAlign w:val="bottom"/>
          </w:tcPr>
          <w:p>
            <w:pPr>
              <w:spacing w:after="0"/>
              <w:rPr>
                <w:sz w:val="12"/>
                <w:szCs w:val="12"/>
                <w:color w:val="auto"/>
              </w:rPr>
            </w:pP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22,919</w:t>
            </w:r>
          </w:p>
        </w:tc>
        <w:tc>
          <w:tcPr>
            <w:tcW w:w="100" w:type="dxa"/>
            <w:vAlign w:val="bottom"/>
          </w:tcPr>
          <w:p>
            <w:pPr>
              <w:spacing w:after="0"/>
              <w:rPr>
                <w:sz w:val="12"/>
                <w:szCs w:val="12"/>
                <w:color w:val="auto"/>
              </w:rPr>
            </w:pPr>
          </w:p>
        </w:tc>
      </w:tr>
      <w:tr>
        <w:trPr>
          <w:trHeight w:val="149"/>
        </w:trPr>
        <w:tc>
          <w:tcPr>
            <w:tcW w:w="64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48,607</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44,474</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expected credit losses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3,977</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11,641</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9,569</w:t>
            </w:r>
          </w:p>
        </w:tc>
        <w:tc>
          <w:tcPr>
            <w:tcW w:w="100" w:type="dxa"/>
            <w:vAlign w:val="bottom"/>
            <w:shd w:val="clear" w:color="auto" w:fill="CFF0FC"/>
          </w:tcPr>
          <w:p>
            <w:pPr>
              <w:spacing w:after="0"/>
              <w:rPr>
                <w:sz w:val="12"/>
                <w:szCs w:val="12"/>
                <w:color w:val="auto"/>
              </w:rPr>
            </w:pP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15,095</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18,520</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3,897</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4,196</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Accretion of debt discount</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Earnout Liability</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8,357</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18,900</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 investment</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(1,125)</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(458)</w:t>
            </w: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(2,707)</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(5,678)</w:t>
            </w:r>
          </w:p>
        </w:tc>
      </w:tr>
      <w:tr>
        <w:trPr>
          <w:trHeight w:val="148"/>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(21,047)</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16,058</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(3,691)</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(10,475)</w:t>
            </w:r>
          </w:p>
        </w:tc>
      </w:tr>
      <w:tr>
        <w:trPr>
          <w:trHeight w:val="148"/>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(12,973)</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(9,429)</w:t>
            </w:r>
          </w:p>
        </w:tc>
      </w:tr>
      <w:tr>
        <w:trPr>
          <w:trHeight w:val="149"/>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8,947</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(930)</w:t>
            </w:r>
          </w:p>
        </w:tc>
      </w:tr>
      <w:tr>
        <w:trPr>
          <w:trHeight w:val="148"/>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(12,735)</w:t>
            </w: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17,156</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(5,449)</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(8,396)</w:t>
            </w:r>
          </w:p>
        </w:tc>
      </w:tr>
      <w:tr>
        <w:trPr>
          <w:trHeight w:val="148"/>
        </w:trPr>
        <w:tc>
          <w:tcPr>
            <w:tcW w:w="64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interest</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(2,046)</w:t>
            </w:r>
          </w:p>
        </w:tc>
      </w:tr>
      <w:tr>
        <w:trPr>
          <w:trHeight w:val="148"/>
        </w:trPr>
        <w:tc>
          <w:tcPr>
            <w:tcW w:w="648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non-current assets and liabilities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w:t>
            </w:r>
          </w:p>
        </w:tc>
      </w:tr>
      <w:tr>
        <w:trPr>
          <w:trHeight w:val="142"/>
        </w:trPr>
        <w:tc>
          <w:tcPr>
            <w:tcW w:w="6480" w:type="dxa"/>
            <w:vAlign w:val="bottom"/>
            <w:tcBorders>
              <w:top w:val="single" w:sz="8" w:color="CFF0FC"/>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240" w:type="dxa"/>
            <w:vAlign w:val="bottom"/>
            <w:tcBorders>
              <w:top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51,394</w:t>
            </w:r>
          </w:p>
        </w:tc>
        <w:tc>
          <w:tcPr>
            <w:tcW w:w="260" w:type="dxa"/>
            <w:vAlign w:val="bottom"/>
            <w:tcBorders>
              <w:top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115,987</w:t>
            </w:r>
          </w:p>
        </w:tc>
        <w:tc>
          <w:tcPr>
            <w:tcW w:w="100" w:type="dxa"/>
            <w:vAlign w:val="bottom"/>
            <w:tcBorders>
              <w:top w:val="single" w:sz="8" w:color="CFF0FC"/>
            </w:tcBorders>
          </w:tcPr>
          <w:p>
            <w:pPr>
              <w:spacing w:after="0"/>
              <w:rPr>
                <w:sz w:val="12"/>
                <w:szCs w:val="12"/>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(38,880)</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(25,473)</w:t>
            </w:r>
          </w:p>
        </w:tc>
      </w:tr>
      <w:tr>
        <w:trPr>
          <w:trHeight w:val="149"/>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(6,612)</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(9,259)</w:t>
            </w: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of Satcom Direct, net of cash acquired</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(1,612)</w:t>
            </w: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FCC Reimbursement Program for property, equipment and intangibles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21,368</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3,783</w:t>
            </w:r>
          </w:p>
        </w:tc>
        <w:tc>
          <w:tcPr>
            <w:tcW w:w="100" w:type="dxa"/>
            <w:vAlign w:val="bottom"/>
          </w:tcPr>
          <w:p>
            <w:pPr>
              <w:spacing w:after="0"/>
              <w:rPr>
                <w:sz w:val="12"/>
                <w:szCs w:val="12"/>
                <w:color w:val="auto"/>
              </w:rPr>
            </w:pPr>
          </w:p>
        </w:tc>
      </w:tr>
      <w:tr>
        <w:trPr>
          <w:trHeight w:val="148"/>
        </w:trPr>
        <w:tc>
          <w:tcPr>
            <w:tcW w:w="6480" w:type="dxa"/>
            <w:vAlign w:val="bottom"/>
            <w:tcBorders>
              <w:bottom w:val="single" w:sz="8" w:color="CFF0FC"/>
            </w:tcBorders>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interest rate caps</w:t>
            </w:r>
          </w:p>
        </w:tc>
        <w:tc>
          <w:tcPr>
            <w:tcW w:w="12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3,277</w:t>
            </w:r>
          </w:p>
        </w:tc>
        <w:tc>
          <w:tcPr>
            <w:tcW w:w="2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9,088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4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(20,757)</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(23,473)</w:t>
            </w:r>
          </w:p>
        </w:tc>
      </w:tr>
      <w:tr>
        <w:trPr>
          <w:trHeight w:val="142"/>
        </w:trPr>
        <w:tc>
          <w:tcPr>
            <w:tcW w:w="6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4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earnout liability</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(39,957)</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term loan</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(22,964)</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(1,875)</w:t>
            </w: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Payments on financing leases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149"/>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 activity</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(2,184)</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FF0FC"/>
          </w:tcPr>
          <w:p>
            <w:pPr>
              <w:spacing w:after="0"/>
              <w:rPr>
                <w:sz w:val="12"/>
                <w:szCs w:val="12"/>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48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(65,154)</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(1,108)</w:t>
            </w: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8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FF0FC"/>
          </w:tcPr>
          <w:p>
            <w:pPr>
              <w:spacing w:after="0"/>
              <w:rPr>
                <w:sz w:val="12"/>
                <w:szCs w:val="12"/>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 increase in cash, cash equivalents and restricted cash</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(34,520)</w:t>
            </w:r>
          </w:p>
        </w:tc>
        <w:tc>
          <w:tcPr>
            <w:tcW w:w="3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91,734</w:t>
            </w:r>
          </w:p>
        </w:tc>
        <w:tc>
          <w:tcPr>
            <w:tcW w:w="100" w:type="dxa"/>
            <w:vAlign w:val="bottom"/>
          </w:tcPr>
          <w:p>
            <w:pPr>
              <w:spacing w:after="0"/>
              <w:rPr>
                <w:sz w:val="12"/>
                <w:szCs w:val="12"/>
                <w:color w:val="auto"/>
              </w:rPr>
            </w:pPr>
          </w:p>
        </w:tc>
      </w:tr>
      <w:tr>
        <w:trPr>
          <w:trHeight w:val="148"/>
        </w:trPr>
        <w:tc>
          <w:tcPr>
            <w:tcW w:w="64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2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125,690</w:t>
            </w:r>
          </w:p>
        </w:tc>
        <w:tc>
          <w:tcPr>
            <w:tcW w:w="2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240" w:type="dxa"/>
            <w:vAlign w:val="bottom"/>
            <w:gridSpan w:val="2"/>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91,170</w:t>
            </w:r>
          </w:p>
        </w:tc>
        <w:tc>
          <w:tcPr>
            <w:tcW w:w="260" w:type="dxa"/>
            <w:vAlign w:val="bottom"/>
          </w:tcPr>
          <w:p>
            <w:pPr>
              <w:spacing w:after="0"/>
              <w:rPr>
                <w:sz w:val="12"/>
                <w:szCs w:val="12"/>
                <w:color w:val="auto"/>
              </w:rPr>
            </w:pPr>
          </w:p>
        </w:tc>
        <w:tc>
          <w:tcPr>
            <w:tcW w:w="3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134,038</w:t>
            </w:r>
          </w:p>
        </w:tc>
        <w:tc>
          <w:tcPr>
            <w:tcW w:w="100" w:type="dxa"/>
            <w:vAlign w:val="bottom"/>
          </w:tcPr>
          <w:p>
            <w:pPr>
              <w:spacing w:after="0"/>
              <w:rPr>
                <w:sz w:val="12"/>
                <w:szCs w:val="12"/>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4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240" w:type="dxa"/>
            <w:vAlign w:val="bottom"/>
            <w:gridSpan w:val="2"/>
            <w:shd w:val="clear" w:color="auto" w:fill="CFF0FC"/>
          </w:tcPr>
          <w:p>
            <w:pPr>
              <w:jc w:val="right"/>
              <w:ind w:right="86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91,170</w:t>
            </w: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jc w:val="right"/>
              <w:ind w:right="2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134,038</w:t>
            </w:r>
          </w:p>
        </w:tc>
        <w:tc>
          <w:tcPr>
            <w:tcW w:w="100" w:type="dxa"/>
            <w:vAlign w:val="bottom"/>
            <w:shd w:val="clear" w:color="auto" w:fill="CFF0FC"/>
          </w:tcPr>
          <w:p>
            <w:pPr>
              <w:spacing w:after="0"/>
              <w:rPr>
                <w:sz w:val="11"/>
                <w:szCs w:val="11"/>
                <w:color w:val="auto"/>
              </w:rPr>
            </w:pPr>
          </w:p>
        </w:tc>
      </w:tr>
      <w:tr>
        <w:trPr>
          <w:trHeight w:val="148"/>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current restricted cash</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r>
      <w:tr>
        <w:trPr>
          <w:trHeight w:val="148"/>
        </w:trPr>
        <w:tc>
          <w:tcPr>
            <w:tcW w:w="64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non-current restricted cash</w:t>
            </w:r>
          </w:p>
        </w:tc>
        <w:tc>
          <w:tcPr>
            <w:tcW w:w="12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w:t>
            </w:r>
          </w:p>
        </w:tc>
        <w:tc>
          <w:tcPr>
            <w:tcW w:w="2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240" w:type="dxa"/>
            <w:vAlign w:val="bottom"/>
            <w:gridSpan w:val="2"/>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90,694</w:t>
            </w:r>
          </w:p>
        </w:tc>
        <w:tc>
          <w:tcPr>
            <w:tcW w:w="260" w:type="dxa"/>
            <w:vAlign w:val="bottom"/>
          </w:tcPr>
          <w:p>
            <w:pPr>
              <w:spacing w:after="0"/>
              <w:rPr>
                <w:sz w:val="12"/>
                <w:szCs w:val="12"/>
                <w:color w:val="auto"/>
              </w:rPr>
            </w:pPr>
          </w:p>
        </w:tc>
        <w:tc>
          <w:tcPr>
            <w:tcW w:w="36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133,572</w:t>
            </w:r>
          </w:p>
        </w:tc>
        <w:tc>
          <w:tcPr>
            <w:tcW w:w="100" w:type="dxa"/>
            <w:vAlign w:val="bottom"/>
          </w:tcPr>
          <w:p>
            <w:pPr>
              <w:spacing w:after="0"/>
              <w:rPr>
                <w:sz w:val="12"/>
                <w:szCs w:val="12"/>
                <w:color w:val="auto"/>
              </w:rPr>
            </w:pPr>
          </w:p>
        </w:tc>
      </w:tr>
      <w:tr>
        <w:trPr>
          <w:trHeight w:val="20"/>
        </w:trPr>
        <w:tc>
          <w:tcPr>
            <w:tcW w:w="6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4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4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24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51,852</w:t>
            </w:r>
          </w:p>
        </w:tc>
        <w:tc>
          <w:tcPr>
            <w:tcW w:w="260" w:type="dxa"/>
            <w:vAlign w:val="bottom"/>
          </w:tcPr>
          <w:p>
            <w:pPr>
              <w:spacing w:after="0"/>
              <w:rPr>
                <w:sz w:val="12"/>
                <w:szCs w:val="12"/>
                <w:color w:val="auto"/>
              </w:rPr>
            </w:pPr>
          </w:p>
        </w:tc>
        <w:tc>
          <w:tcPr>
            <w:tcW w:w="36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59,260</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1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FF0FC"/>
          </w:tcPr>
          <w:p>
            <w:pPr>
              <w:spacing w:after="0"/>
              <w:rPr>
                <w:sz w:val="12"/>
                <w:szCs w:val="12"/>
                <w:color w:val="auto"/>
              </w:rPr>
            </w:pPr>
          </w:p>
        </w:tc>
      </w:tr>
      <w:tr>
        <w:trPr>
          <w:trHeight w:val="149"/>
        </w:trPr>
        <w:tc>
          <w:tcPr>
            <w:tcW w:w="6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Purchases of property, equipment and intangibles in liabilities</w:t>
            </w:r>
          </w:p>
        </w:tc>
        <w:tc>
          <w:tcPr>
            <w:tcW w:w="2240" w:type="dxa"/>
            <w:vAlign w:val="bottom"/>
            <w:gridSpan w:val="2"/>
            <w:shd w:val="clear" w:color="auto" w:fill="CFF0FC"/>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12,741</w:t>
            </w:r>
          </w:p>
        </w:tc>
        <w:tc>
          <w:tcPr>
            <w:tcW w:w="100" w:type="dxa"/>
            <w:vAlign w:val="bottom"/>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-2767965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-1996440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-1413510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-599440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gridSpan w:val="10"/>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2026</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8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9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1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220" w:type="dxa"/>
            <w:vAlign w:val="bottom"/>
          </w:tcPr>
          <w:p>
            <w:pPr>
              <w:spacing w:after="0"/>
              <w:rPr>
                <w:sz w:val="11"/>
                <w:szCs w:val="11"/>
                <w:color w:val="auto"/>
              </w:rPr>
            </w:pPr>
          </w:p>
        </w:tc>
        <w:tc>
          <w:tcPr>
            <w:tcW w:w="80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2026</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135,497,166</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1,296,865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(1,176,146)</w:t>
            </w:r>
          </w:p>
        </w:tc>
        <w:tc>
          <w:tcPr>
            <w:tcW w:w="108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120,697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(3,200)</w:t>
            </w: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(3,200)</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5,025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5,025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73,554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65,046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40" w:type="dxa"/>
            <w:vAlign w:val="bottom"/>
            <w:tcBorders>
              <w:bottom w:val="single" w:sz="8" w:color="CFF0FC"/>
            </w:tcBorders>
            <w:shd w:val="clear" w:color="auto" w:fill="CFF0FC"/>
          </w:tcPr>
          <w:p>
            <w:pPr>
              <w:ind w:left="60"/>
              <w:spacing w:after="0" w:line="140" w:lineRule="exact"/>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135,637,641</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1,301,957</w:t>
            </w:r>
          </w:p>
        </w:tc>
        <w:tc>
          <w:tcPr>
            <w:tcW w:w="220" w:type="dxa"/>
            <w:vAlign w:val="bottom"/>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(1,179,346)</w:t>
            </w:r>
          </w:p>
        </w:tc>
        <w:tc>
          <w:tcPr>
            <w:tcW w:w="10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122,548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0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 30, 2025</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8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9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1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133,334,288</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1,472,226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2,227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(1,175,296)</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13,176,999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(196,382)</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102,790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(1,930)</w:t>
            </w: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(1,930)</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(1,208)</w:t>
            </w: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(1,208)</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6,662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6,662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154,271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343,763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(591)</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(591)</w:t>
            </w: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22,020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(196,380)</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(13,176,999)</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196,382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133,854,342</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1,283,209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960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(1,177,226)</w:t>
            </w:r>
          </w:p>
        </w:tc>
        <w:tc>
          <w:tcPr>
            <w:tcW w:w="108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106,956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-2108200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-2108200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-2108200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-2108200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-2108200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-2108200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-2108200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-2108200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5"/>
        </w:trPr>
        <w:tc>
          <w:tcPr>
            <w:tcW w:w="30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3"/>
                <w:szCs w:val="13"/>
                <w:b w:val="1"/>
                <w:bCs w:val="1"/>
                <w:color w:val="auto"/>
                <w:w w:val="96"/>
              </w:rPr>
              <w:t>For the Nine Months Ended September 30, 2026</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8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1220" w:type="dxa"/>
            <w:vAlign w:val="bottom"/>
            <w:gridSpan w:val="4"/>
          </w:tcPr>
          <w:p>
            <w:pPr>
              <w:jc w:val="center"/>
              <w:ind w:right="4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220" w:type="dxa"/>
            <w:vAlign w:val="bottom"/>
          </w:tcPr>
          <w:p>
            <w:pPr>
              <w:spacing w:after="0"/>
              <w:rPr>
                <w:sz w:val="11"/>
                <w:szCs w:val="11"/>
                <w:color w:val="auto"/>
              </w:rPr>
            </w:pPr>
          </w:p>
        </w:tc>
        <w:tc>
          <w:tcPr>
            <w:tcW w:w="800" w:type="dxa"/>
            <w:vAlign w:val="bottom"/>
            <w:tcBorders>
              <w:bottom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2026</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134,511,275</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1,288,294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18"/>
              <w:spacing w:after="0" w:line="129" w:lineRule="exact"/>
              <w:rPr>
                <w:sz w:val="20"/>
                <w:szCs w:val="20"/>
                <w:color w:val="auto"/>
              </w:rPr>
            </w:pPr>
            <w:r>
              <w:rPr>
                <w:rFonts w:ascii="Times New Roman" w:cs="Times New Roman" w:eastAsia="Times New Roman" w:hAnsi="Times New Roman"/>
                <w:sz w:val="13"/>
                <w:szCs w:val="13"/>
                <w:color w:val="auto"/>
              </w:rPr>
              <w:t>(1,187,222)</w:t>
            </w:r>
          </w:p>
        </w:tc>
        <w:tc>
          <w:tcPr>
            <w:tcW w:w="2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101,129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7,876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7,876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(451)</w:t>
            </w:r>
          </w:p>
        </w:tc>
        <w:tc>
          <w:tcPr>
            <w:tcW w:w="1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15,095</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15,095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61,666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906,611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(2,094)</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(2,094)</w:t>
            </w: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158,089</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0"/>
                <w:szCs w:val="10"/>
                <w:color w:val="auto"/>
              </w:rPr>
            </w:pPr>
          </w:p>
        </w:tc>
        <w:tc>
          <w:tcPr>
            <w:tcW w:w="240" w:type="dxa"/>
            <w:vAlign w:val="bottom"/>
            <w:vMerge w:val="restart"/>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40" w:type="dxa"/>
            <w:vAlign w:val="bottom"/>
            <w:tcBorders>
              <w:bottom w:val="single" w:sz="8" w:color="CFF0FC"/>
            </w:tcBorders>
            <w:shd w:val="clear" w:color="auto" w:fill="CFF0FC"/>
          </w:tcPr>
          <w:p>
            <w:pPr>
              <w:ind w:left="60"/>
              <w:spacing w:after="0" w:line="140" w:lineRule="exact"/>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240" w:type="dxa"/>
            <w:vAlign w:val="bottom"/>
            <w:tcBorders>
              <w:bottom w:val="single" w:sz="8" w:color="auto"/>
            </w:tcBorders>
            <w:vMerge w:val="continue"/>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2026</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135,637,641</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1,301,957</w:t>
            </w:r>
          </w:p>
        </w:tc>
        <w:tc>
          <w:tcPr>
            <w:tcW w:w="220" w:type="dxa"/>
            <w:vAlign w:val="bottom"/>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tcPr>
          <w:p>
            <w:pPr>
              <w:jc w:val="right"/>
              <w:ind w:right="118"/>
              <w:spacing w:after="0" w:line="129" w:lineRule="exact"/>
              <w:rPr>
                <w:sz w:val="20"/>
                <w:szCs w:val="20"/>
                <w:color w:val="auto"/>
              </w:rPr>
            </w:pPr>
            <w:r>
              <w:rPr>
                <w:rFonts w:ascii="Times New Roman" w:cs="Times New Roman" w:eastAsia="Times New Roman" w:hAnsi="Times New Roman"/>
                <w:sz w:val="13"/>
                <w:szCs w:val="13"/>
                <w:color w:val="auto"/>
              </w:rPr>
              <w:t>(1,179,346)</w:t>
            </w:r>
          </w:p>
        </w:tc>
        <w:tc>
          <w:tcPr>
            <w:tcW w:w="240" w:type="dxa"/>
            <w:vAlign w:val="bottom"/>
          </w:tcPr>
          <w:p>
            <w:pPr>
              <w:spacing w:after="0"/>
              <w:rPr>
                <w:sz w:val="11"/>
                <w:szCs w:val="11"/>
                <w:color w:val="auto"/>
              </w:rPr>
            </w:pPr>
          </w:p>
        </w:tc>
        <w:tc>
          <w:tcPr>
            <w:tcW w:w="84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122,548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04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3"/>
                <w:szCs w:val="13"/>
                <w:b w:val="1"/>
                <w:bCs w:val="1"/>
                <w:color w:val="auto"/>
                <w:w w:val="96"/>
              </w:rPr>
              <w:t>For the Nine Months Ended September 30, 2025</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3"/>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9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8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9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e</w:t>
            </w:r>
          </w:p>
        </w:tc>
        <w:tc>
          <w:tcPr>
            <w:tcW w:w="1220" w:type="dxa"/>
            <w:vAlign w:val="bottom"/>
            <w:gridSpan w:val="4"/>
          </w:tcPr>
          <w:p>
            <w:pPr>
              <w:jc w:val="center"/>
              <w:ind w:right="4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60" w:type="dxa"/>
            <w:vAlign w:val="bottom"/>
            <w:gridSpan w:val="5"/>
          </w:tcPr>
          <w:p>
            <w:pPr>
              <w:jc w:val="right"/>
              <w:ind w:right="740"/>
              <w:spacing w:after="0" w:line="142"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177"/>
              <w:spacing w:after="0" w:line="12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77"/>
              <w:spacing w:after="0" w:line="122"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97"/>
              <w:spacing w:after="0" w:line="122"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97"/>
              <w:spacing w:after="0" w:line="122"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7"/>
              <w:spacing w:after="0" w:line="12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37"/>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January 1, 2025</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130,918,997</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1,460,270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5,567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118"/>
              <w:spacing w:after="0" w:line="129" w:lineRule="exact"/>
              <w:rPr>
                <w:sz w:val="20"/>
                <w:szCs w:val="20"/>
                <w:color w:val="auto"/>
              </w:rPr>
            </w:pPr>
            <w:r>
              <w:rPr>
                <w:rFonts w:ascii="Times New Roman" w:cs="Times New Roman" w:eastAsia="Times New Roman" w:hAnsi="Times New Roman"/>
                <w:sz w:val="13"/>
                <w:szCs w:val="13"/>
                <w:color w:val="auto"/>
              </w:rPr>
              <w:t>(1,200,145)</w:t>
            </w: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13,176,999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(196,382)</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69,324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22,919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(5,576)</w:t>
            </w:r>
          </w:p>
        </w:tc>
        <w:tc>
          <w:tcPr>
            <w:tcW w:w="140" w:type="dxa"/>
            <w:vAlign w:val="bottom"/>
          </w:tcPr>
          <w:p>
            <w:pPr>
              <w:spacing w:after="0"/>
              <w:rPr>
                <w:sz w:val="11"/>
                <w:szCs w:val="11"/>
                <w:color w:val="auto"/>
              </w:rPr>
            </w:pPr>
          </w:p>
        </w:tc>
        <w:tc>
          <w:tcPr>
            <w:tcW w:w="1080" w:type="dxa"/>
            <w:vAlign w:val="bottom"/>
            <w:gridSpan w:val="3"/>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(5,576)</w:t>
            </w:r>
          </w:p>
        </w:tc>
        <w:tc>
          <w:tcPr>
            <w:tcW w:w="0" w:type="dxa"/>
            <w:vAlign w:val="bottom"/>
          </w:tcPr>
          <w:p>
            <w:pPr>
              <w:spacing w:after="0"/>
              <w:rPr>
                <w:sz w:val="1"/>
                <w:szCs w:val="1"/>
                <w:color w:val="auto"/>
              </w:rPr>
            </w:pPr>
          </w:p>
        </w:tc>
      </w:tr>
      <w:tr>
        <w:trPr>
          <w:trHeight w:val="135"/>
        </w:trPr>
        <w:tc>
          <w:tcPr>
            <w:tcW w:w="304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1,453,791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units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1,395,311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04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(4,568)</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(4,568)</w:t>
            </w:r>
          </w:p>
        </w:tc>
        <w:tc>
          <w:tcPr>
            <w:tcW w:w="0" w:type="dxa"/>
            <w:vAlign w:val="bottom"/>
          </w:tcPr>
          <w:p>
            <w:pPr>
              <w:spacing w:after="0"/>
              <w:rPr>
                <w:sz w:val="1"/>
                <w:szCs w:val="1"/>
                <w:color w:val="auto"/>
              </w:rPr>
            </w:pPr>
          </w:p>
        </w:tc>
      </w:tr>
      <w:tr>
        <w:trPr>
          <w:trHeight w:val="117"/>
        </w:trPr>
        <w:tc>
          <w:tcPr>
            <w:tcW w:w="3040" w:type="dxa"/>
            <w:vAlign w:val="bottom"/>
            <w:shd w:val="clear" w:color="auto" w:fill="CFF0FC"/>
          </w:tcPr>
          <w:p>
            <w:pPr>
              <w:ind w:left="60"/>
              <w:spacing w:after="0" w:line="117" w:lineRule="exact"/>
              <w:rPr>
                <w:sz w:val="20"/>
                <w:szCs w:val="20"/>
                <w:color w:val="auto"/>
              </w:rPr>
            </w:pPr>
            <w:r>
              <w:rPr>
                <w:rFonts w:ascii="Times New Roman" w:cs="Times New Roman" w:eastAsia="Times New Roman" w:hAnsi="Times New Roman"/>
                <w:sz w:val="13"/>
                <w:szCs w:val="13"/>
                <w:color w:val="auto"/>
              </w:rPr>
              <w:t>Issuance of common stock in connection with employee</w:t>
            </w: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purchase plan</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86,243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(196,380)</w:t>
            </w: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80" w:type="dxa"/>
            <w:vAlign w:val="bottom"/>
            <w:gridSpan w:val="3"/>
          </w:tcPr>
          <w:p>
            <w:pPr>
              <w:jc w:val="right"/>
              <w:ind w:right="4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w w:val="95"/>
              </w:rPr>
              <w:t>(13,176,999)</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196,382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0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133,854,342</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1,283,209</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960</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(1,177,226</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106,956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-2056765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-2056765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-2056765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-2056765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-2056765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-2056765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-2056765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-1417955</wp:posOffset>
            </wp:positionV>
            <wp:extent cx="9398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-1417955</wp:posOffset>
            </wp:positionV>
            <wp:extent cx="93980"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117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03"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the only multi-orbit, multi-band in-flight connectivity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connectivity technology purpose-built for business and military/government aviation. We have a holistic approach of providing broadband connectivity services to our customers from small to large aircraft and heavy jets through our air-to-ground (“ATG”) technology and integrated low earth orbit (“LEO”) and geostationary earth orbit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spacing w:after="0" w:line="74"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 </w:t>
      </w:r>
      <w:r>
        <w:rPr>
          <w:rFonts w:ascii="Times New Roman" w:cs="Times New Roman" w:eastAsia="Times New Roman" w:hAnsi="Times New Roman"/>
          <w:sz w:val="18"/>
          <w:szCs w:val="18"/>
          <w:color w:val="auto"/>
        </w:rPr>
        <w:t>The Company’s chief operating decision maker (“CODM”) is the Chief Executive Officer. The CODM makes resource and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decisions by evaluating performance and business results of the consolidated company. As a result, the Company has a single reportable segment, with net income (loss) utilized as the performance measure.</w:t>
      </w:r>
    </w:p>
    <w:p>
      <w:pPr>
        <w:spacing w:after="0" w:line="6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2025 as filed with the Securities and Exchange Commission (the “SEC”) on February 27, 2026 (the “2025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results of operations and cash flows for the three- and nine-month periods ended September 30, 2026 are not necessarily indicative of the results that may be expected for the fiscal year ending December 31, 2026.</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September 30, 2026 and December 31, 2025.</w:t>
      </w:r>
    </w:p>
    <w:p>
      <w:pPr>
        <w:spacing w:after="0" w:line="11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21E1F"/>
        </w:rPr>
        <w:t>Recently Issued Accounting Pronouncements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(Subtopic 220-40):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Income Statement Expenses, </w:t>
      </w:r>
      <w:r>
        <w:rPr>
          <w:rFonts w:ascii="Times New Roman" w:cs="Times New Roman" w:eastAsia="Times New Roman" w:hAnsi="Times New Roman"/>
          <w:sz w:val="18"/>
          <w:szCs w:val="18"/>
          <w:color w:val="auto"/>
        </w:rPr>
        <w:t>which requires disclosure about specific types of expenses included in the expense captions presented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This guidance is effective for fiscal years beginning after December 15, 2026, and interim periods within fiscal years beginning after December 15, 2027. Early adoption is permitted and the amendments should be applied on a prospective basis, however, retrospective application is permitted. We are currently evaluating the impact that this guidance will have upon our consolidated financial statements and related notes.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 Internal-Use Softw</w:t>
      </w:r>
      <w:r>
        <w:rPr>
          <w:rFonts w:ascii="Times New Roman" w:cs="Times New Roman" w:eastAsia="Times New Roman" w:hAnsi="Times New Roman"/>
          <w:sz w:val="18"/>
          <w:szCs w:val="18"/>
          <w:i w:val="1"/>
          <w:iCs w:val="1"/>
          <w:color w:val="auto"/>
        </w:rPr>
        <w:t>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details the criteria for capitalization of internal-use software costs. The ASU is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years beginning after December 15, 2027, and interim periods within those fiscal years, and may be adopted on a prospective, modified, or retrospective transition approach, and early adoption is permitted. We are currently evaluating the impact that this guidance will have upon our consolidated financial statements and related notes.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 which establishes authoritative guidance on the recognition, measurement, presentation and disclosure of government grants. The ASU is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years beginning after December 15, 2028, including interim periods within those fiscal years, with early adoption permitted. We are currently evaluating the impact that this guidance will have upon our consolidated financial statements and related notes.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using the weighted average number of common shares outstanding for the period. Diluted earnings per share is computed using the weighted average number of common shares outstanding and the treasury stock method for stock-based compensation. Contingently issuable shares are only included in the diluted earnings per share computation once all necessary conditions have been satisfied.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diluted earnings per share calculations exclude the effect of stock options, deferred stock units, performance stock units, restricted stock units and the potential Earnout Liability related to the acquisition of Satcom Direct when the computation is anti-dilutive. For the three- and nine-month periods ended September 30, 2026, the weighted average number of shares excluded from the computation was 90.0 million and 70.3 million, respectively. For the three- and nine-month periods ended September 30, 2025, the weighted average number of shares excluded from the computation was 33.8 million and 26.5 million, respectively.</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nine-month periods ended September 30, 2026 and 2025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3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(3,200)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133,403</w:t>
            </w:r>
          </w:p>
        </w:tc>
        <w:tc>
          <w:tcPr>
            <w:tcW w:w="120" w:type="dxa"/>
            <w:vAlign w:val="bottom"/>
          </w:tcPr>
          <w:p>
            <w:pPr>
              <w:spacing w:after="0"/>
              <w:rPr>
                <w:sz w:val="18"/>
                <w:szCs w:val="18"/>
                <w:color w:val="auto"/>
              </w:rPr>
            </w:pPr>
          </w:p>
        </w:tc>
      </w:tr>
      <w:tr>
        <w:trPr>
          <w:trHeight w:val="229"/>
        </w:trPr>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FF0FC"/>
          </w:tcPr>
          <w:p>
            <w:pPr>
              <w:spacing w:after="0"/>
              <w:rPr>
                <w:sz w:val="19"/>
                <w:szCs w:val="19"/>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-25400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7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(3,200)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133,403</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stock-based compensation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5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b w:val="1"/>
                <w:bCs w:val="1"/>
                <w:color w:val="auto"/>
              </w:rPr>
              <w:t>Total weighted average diluted shares outstanding</w:t>
            </w:r>
          </w:p>
        </w:tc>
        <w:tc>
          <w:tcPr>
            <w:tcW w:w="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136,636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134,657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136,640</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-1079500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-1079500</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-1079500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2026, the aggregate amount of the transaction price in our contracts allocated to the remaining unsatisfied performance obligations (“RPO”) was approximately $442 million and excludes consideration from contracts that have an original duration of one year or less. Approximately $427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40% of our connectivity and entertainment service RPO within the next year, approximately 48% in one to five years and the remaining 12% in five to ten years. The remaining $15 million of the RPO represents future equipment revenue that is expected to be recognized primarily within the next three years as equipment is shipped.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40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48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 by type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Satellite broadband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83,919</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232,874</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ATG broadband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180,291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221,235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Narrowband and other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133,104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128,424</w:t>
            </w:r>
          </w:p>
        </w:tc>
        <w:tc>
          <w:tcPr>
            <w:tcW w:w="100" w:type="dxa"/>
            <w:vAlign w:val="bottom"/>
          </w:tcPr>
          <w:p>
            <w:pPr>
              <w:spacing w:after="0"/>
              <w:rPr>
                <w:sz w:val="18"/>
                <w:szCs w:val="18"/>
                <w:color w:val="auto"/>
              </w:rPr>
            </w:pPr>
          </w:p>
        </w:tc>
      </w:tr>
      <w:tr>
        <w:trPr>
          <w:trHeight w:val="24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service revenue by type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182,729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189,956</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561,733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582,533</w:t>
            </w:r>
          </w:p>
        </w:tc>
        <w:tc>
          <w:tcPr>
            <w:tcW w:w="100" w:type="dxa"/>
            <w:vAlign w:val="bottom"/>
            <w:shd w:val="clear" w:color="auto" w:fill="CFF0FC"/>
          </w:tcPr>
          <w:p>
            <w:pPr>
              <w:spacing w:after="0"/>
              <w:rPr>
                <w:sz w:val="21"/>
                <w:szCs w:val="21"/>
                <w:color w:val="auto"/>
              </w:rPr>
            </w:pPr>
          </w:p>
        </w:tc>
      </w:tr>
      <w:tr>
        <w:trPr>
          <w:trHeight w:val="197"/>
        </w:trPr>
        <w:tc>
          <w:tcPr>
            <w:tcW w:w="4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Service revenue by market</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Business aviation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145,561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162,622</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451,246</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497,269</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Military / Government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37,168</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110,487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85,264</w:t>
            </w:r>
          </w:p>
        </w:tc>
        <w:tc>
          <w:tcPr>
            <w:tcW w:w="100" w:type="dxa"/>
            <w:vAlign w:val="bottom"/>
          </w:tcPr>
          <w:p>
            <w:pPr>
              <w:spacing w:after="0"/>
              <w:rPr>
                <w:sz w:val="18"/>
                <w:szCs w:val="18"/>
                <w:color w:val="auto"/>
              </w:rPr>
            </w:pPr>
          </w:p>
        </w:tc>
      </w:tr>
      <w:tr>
        <w:trPr>
          <w:trHeight w:val="24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service revenue by market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182,729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189,956</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561,733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582,533</w:t>
            </w:r>
          </w:p>
        </w:tc>
        <w:tc>
          <w:tcPr>
            <w:tcW w:w="100" w:type="dxa"/>
            <w:vAlign w:val="bottom"/>
            <w:shd w:val="clear" w:color="auto" w:fill="CFF0FC"/>
          </w:tcPr>
          <w:p>
            <w:pPr>
              <w:spacing w:after="0"/>
              <w:rPr>
                <w:sz w:val="21"/>
                <w:szCs w:val="21"/>
                <w:color w:val="auto"/>
              </w:rPr>
            </w:pPr>
          </w:p>
        </w:tc>
      </w:tr>
      <w:tr>
        <w:trPr>
          <w:trHeight w:val="413"/>
        </w:trPr>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4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Satellite broadband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42,808</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ATG broadband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57,914</w:t>
            </w: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Narrowband and other</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19,369</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97,397</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-1464945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-1447800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-1464945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-1447800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-1447800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-1464945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-1447800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-882015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-864870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-882015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-864870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59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-882015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$52.2 million and $39.6 million as of September 30, 2026 and December 31, 2025, respectively. Contract assets represent the aggregate amount of revenue recognized in excess of billings and recoverable contract costs primarily for certain promotional sales programs.</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$30.5 million and $36.0 million as of September 30, 2026 and December 31, 2025, respectively. Deferred revenue includes, among other things, prepayments for equipment and subscription connectivity products. For the three- and nine-month periods ended September 30, 2026, we recognized revenue of $5.4 million and $29.3 million, respectively, that was previously included in the deferred revenue balance as of December 31, 2025. For the three- and nine-month periods ended September 30, 2025, we recognized revenue of $10.0 million and $40.7 million, respectively, that was previously included in the deferred revenue balance as of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Government Assistance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Communications Commission (“FCC”) Reimbursement Program</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w:t>
      </w:r>
    </w:p>
    <w:p>
      <w:pPr>
        <w:sectPr>
          <w:pgSz w:w="11900" w:h="16838" w:orient="portrait"/>
          <w:cols w:equalWidth="0" w:num="1">
            <w:col w:w="11220"/>
          </w:cols>
          <w:pgMar w:left="320" w:top="765"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equipment installed on aircraft operated by the Company’s ATG customers that is not compatible with the terrestrial equipment that will replace ZTE equipment. Due to an initial shortfall in the amount appropriated by Congress to fund the FCC Reimbursement Program, approximately $132 million of the approved amount was allocated to the Company under the program. Following passage of the Fiscal Year 2025 National Defense Authorization Act, the Company was allocated its full approved amount of approximately $334 million and the program completion deadline was extended to May 8, 2027.</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we have recorded a $30.7 million and $27.8 million receivable from the FCC, respectively, which are included in Prepaid expenses and other current assets in our Unaudited Condensed Consolidated Balance Sheets.</w:t>
      </w:r>
    </w:p>
    <w:p>
      <w:pPr>
        <w:spacing w:after="0" w:line="5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are the FCC Reimbursement Program-related deductions to the carrying value of asset balances in our Unaudited Condensed Consolidated Balance Sheets as of September 30, 2026 and December 31, 2025 </w:t>
      </w:r>
      <w:r>
        <w:rPr>
          <w:rFonts w:ascii="Times New Roman" w:cs="Times New Roman" w:eastAsia="Times New Roman" w:hAnsi="Times New Roman"/>
          <w:sz w:val="18"/>
          <w:szCs w:val="18"/>
          <w:i w:val="1"/>
          <w:iCs w:val="1"/>
          <w:color w:val="auto"/>
        </w:rPr>
        <w:t>(in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4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4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(8,963)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(7,349)</w:t>
            </w: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(48,001)</w:t>
            </w:r>
          </w:p>
        </w:tc>
      </w:tr>
      <w:tr>
        <w:trPr>
          <w:trHeight w:val="216"/>
        </w:trPr>
        <w:tc>
          <w:tcPr>
            <w:tcW w:w="4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(10,242)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(2,712)</w:t>
            </w:r>
          </w:p>
        </w:tc>
      </w:tr>
      <w:tr>
        <w:trPr>
          <w:trHeight w:val="216"/>
        </w:trPr>
        <w:tc>
          <w:tcPr>
            <w:tcW w:w="4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(24,234)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(21,376)</w:t>
            </w: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the FCC Reimbursement Program-related increases to Net income in our Unaudited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Operations for the three- and nine-month periods ended September 30, 2026 and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3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09"/>
        </w:trPr>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21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1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6,650</w:t>
            </w:r>
          </w:p>
        </w:tc>
        <w:tc>
          <w:tcPr>
            <w:tcW w:w="9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tcPr>
          <w:p>
            <w:pPr>
              <w:spacing w:after="0"/>
              <w:rPr>
                <w:sz w:val="18"/>
                <w:szCs w:val="18"/>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18"/>
                <w:szCs w:val="18"/>
                <w:color w:val="auto"/>
              </w:rPr>
            </w:pPr>
          </w:p>
        </w:tc>
      </w:tr>
      <w:tr>
        <w:trPr>
          <w:trHeight w:val="21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shd w:val="clear" w:color="auto" w:fill="CFF0FC"/>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1,448</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FF0FC"/>
          </w:tcPr>
          <w:p>
            <w:pPr>
              <w:spacing w:after="0"/>
              <w:rPr>
                <w:sz w:val="18"/>
                <w:szCs w:val="18"/>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Composition of Certain Balance Sheet Accounts</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41,713</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62,432</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57,140</w:t>
            </w:r>
          </w:p>
        </w:tc>
        <w:tc>
          <w:tcPr>
            <w:tcW w:w="100" w:type="dxa"/>
            <w:vAlign w:val="bottom"/>
          </w:tcPr>
          <w:p>
            <w:pPr>
              <w:spacing w:after="0"/>
              <w:rPr>
                <w:sz w:val="18"/>
                <w:szCs w:val="18"/>
                <w:color w:val="auto"/>
              </w:rPr>
            </w:pPr>
          </w:p>
        </w:tc>
      </w:tr>
      <w:tr>
        <w:trPr>
          <w:trHeight w:val="229"/>
        </w:trPr>
        <w:tc>
          <w:tcPr>
            <w:tcW w:w="42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Total inventory</w:t>
            </w:r>
            <w:r>
              <w:rPr>
                <w:rFonts w:ascii="Times New Roman" w:cs="Times New Roman" w:eastAsia="Times New Roman" w:hAnsi="Times New Roman"/>
                <w:sz w:val="24"/>
                <w:szCs w:val="24"/>
                <w:i w:val="1"/>
                <w:iCs w:val="1"/>
                <w:color w:val="auto"/>
                <w:vertAlign w:val="superscript"/>
              </w:rPr>
              <w:t>(1)</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119,902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98,853</w:t>
            </w:r>
          </w:p>
        </w:tc>
        <w:tc>
          <w:tcPr>
            <w:tcW w:w="10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-25400</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514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 w:name="page13"/>
    <w:bookmarkEnd w:id="12"/>
    <w:p>
      <w:pPr>
        <w:jc w:val="center"/>
        <w:ind w:right="297"/>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Prepaid expenses and other current assets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623"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 and receivable</w:t>
            </w: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FCC reimbursement receivable</w:t>
            </w:r>
            <w:r>
              <w:rPr>
                <w:rFonts w:ascii="Times New Roman" w:cs="Times New Roman" w:eastAsia="Times New Roman" w:hAnsi="Times New Roman"/>
                <w:sz w:val="24"/>
                <w:szCs w:val="24"/>
                <w:i w:val="1"/>
                <w:iCs w:val="1"/>
                <w:color w:val="auto"/>
                <w:vertAlign w:val="superscript"/>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4"/>
                <w:szCs w:val="24"/>
                <w:i w:val="1"/>
                <w:iCs w:val="1"/>
                <w:color w:val="auto"/>
                <w:vertAlign w:val="superscript"/>
              </w:rPr>
              <w:t>(1)</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-170815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-170815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Property and equipment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23"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Office equipment, furniture, fixtures and other</w:t>
            </w:r>
            <w:r>
              <w:rPr>
                <w:rFonts w:ascii="Times New Roman" w:cs="Times New Roman" w:eastAsia="Times New Roman" w:hAnsi="Times New Roman"/>
                <w:sz w:val="24"/>
                <w:szCs w:val="24"/>
                <w:i w:val="1"/>
                <w:iCs w:val="1"/>
                <w:color w:val="auto"/>
                <w:vertAlign w:val="superscript"/>
              </w:rPr>
              <w:t>(1)</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59,647</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FF0FC"/>
              <w:right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Network equipment</w:t>
            </w:r>
            <w:r>
              <w:rPr>
                <w:rFonts w:ascii="Times New Roman" w:cs="Times New Roman" w:eastAsia="Times New Roman" w:hAnsi="Times New Roman"/>
                <w:sz w:val="24"/>
                <w:szCs w:val="24"/>
                <w:i w:val="1"/>
                <w:iCs w:val="1"/>
                <w:color w:val="auto"/>
                <w:vertAlign w:val="superscript"/>
              </w:rPr>
              <w:t>(1)(2)</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197,786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195,640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(166,316)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(152,194)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-454025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-454025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-170815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-170815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3" w:right="120" w:hanging="3"/>
        <w:spacing w:after="0" w:line="281"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with current-period classification, as of December 31, 2025, $2.4 million has been reclassified from Office equipment, furniture, fixtures and other to Network equipment.</w:t>
      </w:r>
    </w:p>
    <w:p>
      <w:pPr>
        <w:spacing w:after="0" w:line="1"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4, “Government Assistance,” for additional information.</w:t>
      </w:r>
    </w:p>
    <w:p>
      <w:pPr>
        <w:spacing w:after="0" w:line="63" w:lineRule="exact"/>
        <w:rPr>
          <w:sz w:val="20"/>
          <w:szCs w:val="20"/>
          <w:color w:val="auto"/>
        </w:rPr>
      </w:pPr>
    </w:p>
    <w:p>
      <w:pPr>
        <w:ind w:left="3"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above, the Company classified $26.4 million and $26.3 million of property and equipment as Assets held for sale on our Unaudited Condensed Consolidated Balance Sheets as of September 30, 2026 and December 31, 2025, respectively. Assets held for sale represent the main corporate facility and data center of Satcom Direct and associated land in Melbourne, Florida. The Company expects to sell the assets within the next twelve months.</w:t>
      </w:r>
    </w:p>
    <w:p>
      <w:pPr>
        <w:spacing w:after="0" w:line="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Other non-current assets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623"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9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Contract assets, net of allowances of $771 and $538, respectively</w:t>
            </w:r>
            <w:r>
              <w:rPr>
                <w:rFonts w:ascii="Times New Roman" w:cs="Times New Roman" w:eastAsia="Times New Roman" w:hAnsi="Times New Roman"/>
                <w:sz w:val="24"/>
                <w:szCs w:val="24"/>
                <w:i w:val="1"/>
                <w:iCs w:val="1"/>
                <w:color w:val="auto"/>
                <w:vertAlign w:val="superscript"/>
              </w:rPr>
              <w:t>(1)</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8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8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80" w:type="dxa"/>
            <w:vAlign w:val="bottom"/>
          </w:tcPr>
          <w:p>
            <w:pPr>
              <w:spacing w:after="0"/>
              <w:rPr>
                <w:sz w:val="18"/>
                <w:szCs w:val="18"/>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9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44,928</w:t>
            </w:r>
          </w:p>
        </w:tc>
        <w:tc>
          <w:tcPr>
            <w:tcW w:w="80" w:type="dxa"/>
            <w:vAlign w:val="bottom"/>
            <w:shd w:val="clear" w:color="auto" w:fill="CFF0FC"/>
          </w:tcPr>
          <w:p>
            <w:pPr>
              <w:spacing w:after="0"/>
              <w:rPr>
                <w:sz w:val="19"/>
                <w:szCs w:val="19"/>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-24765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-7620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-24765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-7620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Accrued liabilities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3"/>
          </w:cols>
          <w:pgMar w:left="837" w:top="765" w:right="5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 reserve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23,904</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liabilities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2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80" w:type="dxa"/>
            <w:vAlign w:val="bottom"/>
          </w:tcPr>
          <w:p>
            <w:pPr>
              <w:spacing w:after="0"/>
              <w:rPr>
                <w:sz w:val="18"/>
                <w:szCs w:val="18"/>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44,064</w:t>
            </w:r>
          </w:p>
        </w:tc>
        <w:tc>
          <w:tcPr>
            <w:tcW w:w="8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Research and Development Costs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$9.9 million and $26.1 million, respectively, during the three- and nine-month periods ended September 30, 2026 and $15.7 million and $42.1 million, respectively, during the prior-year periods. Research and development costs are reported as Engineering, design and development expenses in our Unaudited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and goodwill. Intangible assets with indefinite lives are not amortized but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2025 indicated no impairment. We also reevaluate the useful life of indefinite-lived intangible assets each reporting period to determine whether events and circumstances continue to support an indefinite useful life.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goodwill was $193.2 million as of both September 30, 2026 and December 31, 2025.</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intangible assets, other than goodwill,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5"/>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9"/>
        </w:trPr>
        <w:tc>
          <w:tcPr>
            <w:tcW w:w="30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Software</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140,069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(62,705)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(55,524)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Service customer relationships</w:t>
            </w: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152,681</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(60,903)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91,778</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152,681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(39,410)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OEM and dealer relationships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(2,796)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320,509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(135,691)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184,818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(104,521)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FCC License</w:t>
            </w:r>
          </w:p>
        </w:tc>
        <w:tc>
          <w:tcPr>
            <w:tcW w:w="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351,828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(135,691)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216,137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353,339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(104,521)</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248,818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-556260</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-556260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-556260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-556260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-556260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was $10.6 million and $31.2 million, respectively, for the three- and nine-month periods ended September 30, 2026, and $10.0 million and $29.7 million, respectively, for the prior-year periods.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2026,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66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19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 (period from October 1 to December 31)</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6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42,953</w:t>
            </w: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43,184</w:t>
            </w:r>
          </w:p>
        </w:tc>
        <w:tc>
          <w:tcPr>
            <w:tcW w:w="6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40,629</w:t>
            </w: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60" w:type="dxa"/>
            <w:vAlign w:val="bottom"/>
            <w:shd w:val="clear" w:color="auto" w:fill="CFF0FC"/>
          </w:tcPr>
          <w:p>
            <w:pPr>
              <w:spacing w:after="0"/>
              <w:rPr>
                <w:sz w:val="17"/>
                <w:szCs w:val="17"/>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34,111</w:t>
            </w:r>
          </w:p>
        </w:tc>
        <w:tc>
          <w:tcPr>
            <w:tcW w:w="60" w:type="dxa"/>
            <w:vAlign w:val="bottom"/>
          </w:tcPr>
          <w:p>
            <w:pPr>
              <w:spacing w:after="0"/>
              <w:rPr>
                <w:sz w:val="18"/>
                <w:szCs w:val="18"/>
                <w:color w:val="auto"/>
              </w:rPr>
            </w:pPr>
          </w:p>
        </w:tc>
      </w:tr>
    </w:tbl>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 and Other Liabilities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as of September 30, 2026 and December 31, 2025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Facility</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600,589</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HPS Term Loan Facility</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(5,086)</w:t>
            </w: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814,634</w:t>
            </w:r>
          </w:p>
        </w:tc>
        <w:tc>
          <w:tcPr>
            <w:tcW w:w="1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51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“2021 Revolving Facility” and together with the 2021 Term Loan Facility, the “2021 Facilities”) of up to $100.0 million, which includes a letter of credit sub-facility. As of the Closing Date (as defined below), the 2021 Term Loan Facility consists of two tranches: Initial Term Loans in an aggregate principal amount of $33.4 million (the “Initial Term Loan Facility”), which mature on April 30, 2028; and the 2026 Extended Term Loans (as defined below) in an aggregate principal amount of $544.4 million (the “2026 Extended Term Loan Facility”), which mature on October 31, 2030.</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the 2021 Revolving Facility to an aggregate amount equal to $122 million and (b) extend the maturity date of the 2021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spacing w:after="0" w:line="7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November 6, 2026 (the “Closing Date”), Gogo and GIH entered into a third amendment to the 2021 Credit Agreement, by and among Gogo, GIH, the guarantors party thereto and the lenders party thereto, to, among other purposes, extend the maturity of the term loans held by consenting lenders under the 2021 Term Loan Facility by converting such term loans into a new class of term loans, which are the 2026 Extended Term Loans. The third amendment includes a mechanic for holders of the Initial Term Loan Facility to convert their Initial Term Loans into 2026 Extended Term Loans within a period of time after the Closing Date, with such conversion to be effective as of the Closing Date. The third amendment also requires GIH to prepay $25.0 million of the 2026 Extended Term Loans on the Closing Date (with any additional holders of Initial Term Loans converting after the Closing Date to receive their pro rata share of such amount), $30.0 million of the 2026 Extended Term Loans on or prior to December 31, 2026 and an additional $20.0 million of 2026 Extended Term Loans on or prior to December 31, 2027, in each case subject to reduction for voluntary prepayments and repurchases. These additional mandatory prepayments apply only to the 2026 Extended Term Loans. Subject to the right of individual lenders to decline receipt of prepayments, mandatory prepayments from asset disposition proceeds,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debt incurrence proceeds and excess cash flow are allocated pro rata among the outstanding term loan tranches. The third amendment also effects certain other changes to the 2021 Credit Agreement described below.</w:t>
      </w:r>
    </w:p>
    <w:p>
      <w:pPr>
        <w:spacing w:after="0" w:line="27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Initial Term Loan Facility amortized in quarterly installments equal to one percent of the aggregate initial principal amount thereof per annum, with the remaining balance payable upon final maturity of the Initial Term Loan Facility. There are no amortization payments under the Revolving Facility. The 2026 Extended Term Loans amortize in quarterly installments commencing on March 31, 2027 equal to 0.75% of their initial aggregate principal amount through and including March 31, 2028, 1.125% thereafter through and including March 31, 2029 and 1.25% thereafter, subject to reduction for applicable prepayments, with the remaining balance payable at maturity.</w:t>
      </w:r>
    </w:p>
    <w:p>
      <w:pPr>
        <w:spacing w:after="0" w:line="7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Initial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of approximately 0.11%, 0.26% or 0.43% per annum based on 1-month, 3-month or 6-month term SOFR, respectively, or (ii) an alternate base rate plus an applicable margin of 2.75%. The 2026 Extended Term Loans bear annual interest, at GIH’s option, at either (i) term SOFR (subject to a floor of 0.00%), with no credit spread adjustment, plus an applicable margin of 5.75% or (ii) an alternate base rate plus an applicable margin of 4.75%.</w:t>
      </w:r>
    </w:p>
    <w:p>
      <w:pPr>
        <w:spacing w:after="0" w:line="79"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2.50% to 3.00% per annum depending on GIH’s senior secured first lien net leverage ratio. Additionally, unused commitments under the Revolving Facility are subject to a fee ranging from 0.25% to</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0.50% per annum depending on GIH’s senior secured first lien net leverage ratio. As of September 30, 2026, the fee for unused commitments under the Revolving Facility was 0.25% and the applicable margin was 4.00% for SOFR rate loans and 3.00% for alternate rate loans.</w:t>
      </w:r>
    </w:p>
    <w:p>
      <w:pPr>
        <w:spacing w:after="0" w:line="7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This prepayment satisfied the required amortization payments for the remaining term of the Initial Term Loan Facility. Optional term loan prepayments may be allocated among the Initial Term Loan Facility and the 2026 Extended Term Loan Facility as directed by GIH.</w:t>
      </w:r>
    </w:p>
    <w:p>
      <w:pPr>
        <w:spacing w:after="0" w:line="7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Subject to certain exceptions and de minimis thresholds, both the Initial Term Loan Facility and the 2026 Extended Term Loans are subject to mandatory prepayments in an amount equal to:</w:t>
      </w:r>
    </w:p>
    <w:p>
      <w:pPr>
        <w:spacing w:after="0" w:line="5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proceeds of certain asset sales, insurance recovery and condemnation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proceeds of certain debt incurrences; and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above $10 million, subject to reduction to 25% and 0% if specified senior secured first lien net leverage ratio targets are met.</w:t>
      </w:r>
    </w:p>
    <w:p>
      <w:pPr>
        <w:spacing w:after="0" w:line="54"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Mandatory prepayments from asset disposition proceeds, debt incurrence proceeds and excess cash flow are generally allocated pro rata among the outstanding term loan tranches, subject to applicable exceptions and lender declination rights. The additional $25.0 million, $30.0 million and $20.0 million prepayments described above apply solely to the 2026 Extended Term Loans.</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2021 Facilities; and amendment of organizational documents; in each case subject to customary exceptions. The Third Amendment introduces provisions restricting the Company’s ability to undertake certain liability management transactions by restricting priming/subordination and non-pro-rata treatment of the 2026 Extended Term Loans and/or lenders of the 2026 Extended Term Loans, subject to specified exceptions, and introduces provisions requiring the consent of a supermajority of the lenders of the 2026 Extended Term Loans to approve or waive.</w:t>
      </w:r>
    </w:p>
    <w:p>
      <w:pPr>
        <w:spacing w:after="0" w:line="8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Revolving Facility is available for working capital and general corporate purposes of GIH and its subsidiaries and was undrawn as of September 30, 2026 and December 31, 2025.</w:t>
      </w:r>
    </w:p>
    <w:p>
      <w:pPr>
        <w:spacing w:after="0" w:line="54" w:lineRule="exact"/>
        <w:rPr>
          <w:sz w:val="20"/>
          <w:szCs w:val="20"/>
          <w:color w:val="auto"/>
        </w:rPr>
      </w:pPr>
    </w:p>
    <w:p>
      <w:pPr>
        <w:ind w:right="60" w:firstLine="509"/>
        <w:spacing w:after="0" w:line="312" w:lineRule="auto"/>
        <w:rPr>
          <w:sz w:val="20"/>
          <w:szCs w:val="20"/>
          <w:color w:val="auto"/>
        </w:rPr>
      </w:pPr>
      <w:r>
        <w:rPr>
          <w:rFonts w:ascii="Times New Roman" w:cs="Times New Roman" w:eastAsia="Times New Roman" w:hAnsi="Times New Roman"/>
          <w:sz w:val="17"/>
          <w:szCs w:val="17"/>
          <w:color w:val="auto"/>
        </w:rPr>
        <w:t>As of both September 30, 2026 and December 31, 2025, the outstanding principal amount of the 2021 Term Loan Facility was $601.4 million, the unaccreted debt discount was $0.8 million and $1.2 million, respectively, and the net carrying amount was $600.6 million and $600.2 million, respectively.</w:t>
      </w:r>
    </w:p>
    <w:p>
      <w:pPr>
        <w:spacing w:after="0" w:line="3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paid approximately $21.6 million of loan origination and financing costs related to the 2021 Facilities, which are being accounted for as deferred financing costs on our Unaudited Condensed Consolidated Balance Sheets and are amortized over the terms of the 2021 Facilities. Total amortization expense was $0.8 million and $2.3 million, respectively, for the three- and nine-month periods ended September 30, 2026, and $0.7 million and $2.2 million, respectively, for the prior-year periods and is included in interest expense in our Unaudited Condensed Consolidated Statements of Operations. As of September 30, 2026 and December 31, 2025, the balance of unamortized deferred financing costs related to the 2021 Facilities was $5.1 million and $7.4 million, respectively. We paid approximately $8.8 million of loan origination and financing costs related the 2026 Extended Term Loan Facility.</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Gogo, GIH, and each direct and indirect wholly-owned U.S. restricted subsidiary of GIH (Gogo and such subsidiaries collectively, the “Guarantors”) are also party to a guarantee agreement, dated April 30, 2021 (the “2021 Guarantee Agreement”), in favor of Morgan Stanley Senior Funding, Inc., as collateral agent (the “2021 Collateral Agent”), by which GIH and the Guarantors guarantee the obligations under the 2021 Facilities and certain other secured obligations as set forth in the 2021 Guarantee Agreement, and GIH and the Guarantors entered into a collateral agreement, dated April 30, 2021 (the “2021 Collateral Agreement”), in favor of the 2021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2021 Facilities and certain other secured obligations as set forth in the 2021 Collateral Agreement. The liens granted under the 2021 Term Loan Facility are subject to an intercreditor agreement and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granted under the HPS Term Loan Facility (as defined below). The third amendment to the 2021 Credit Agreement adds a requirement for certain foreign subsidiaries to join as guarantors. Other foreign subsidiaries are required to provide guarantees if their assets, revenues or Consolidated EBITDA exceed the applicable individual materiality thresholds, or if they cease to qualify as immaterial because the applicable aggregate thresholds are exceeded. Additional collateral granted pursuant to the third amendment to the 2021 Credit Agreement will also secure the obligations under the HPS Term Loan Facility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subject to the terms of the Intercreditor Agreement.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HPS Credit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3, 2024, the Company and GIH entered into a credit agreement (the “HPS Credit Agreement” and together with the 2021 Credit Agreement, the “Credit Agreements”) with HPS Investment Partners, LLC (“HPS”), as the administrative agent, and the lenders party thereto, which provides for a term loan credit facility (the “HPS Term Loan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spacing w:after="0" w:line="7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HPS Term Loan Facility may be prepaid at the Company’s option, at any time, without premium or penalty (other than customary breakage costs, and except that during the period from 12 months to 24 months following the closing of the HPS Credit Agreement, certain prepayments of the HPS Term Loan Facility are subject to a 1.00% prepayment premium), subject to minimum principal repayment amount requirements.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HPS Term Loan Facility is subject to mandatory prepayments in an amount equal to:</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annual excess cash flow (as defined in the HPS Credit Agreement), subject to reduction to 50% if specified senior secured first lien net leverage ratio targets are met.</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HPS Credit Agreement contains customary representations and warranties and customary affirmative and negative covenants. The negative covenants include restrictions on, among other things: the incurrence of indebtedness or issuance of disqualified equity interests; the incurrence or existence of liens; consolidations or mergers; activities of the Company; the making of investments, loans, advances, guarantees or acquisitions; asset sales; the making of dividends or other distributions on equity; the purchase, redemption or retirement of capital stock; payment or redemption of certain junior indebtedness; activities of Federal Communications Commission license holders; entry into other agreements that restrict the ability to incur liens securing the HPS Term Loan Facility.</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the outstanding principal amount of the HPS Term Loan Facility was $223.9 million and $246.9 million, respectively, the unaccreted debt discount was $2.3 million and $3.6 million, respectively, and the net carrying amount was $221.6 million and $243.3 million, respectively. In accordance with the HPS Credit Agreement, the Company paid $21.1 million of the outstanding principal amount of the HPS Term Loan Facility in April 2026. As a result, the Company expensed $0.4 million of the unaccreted debt discount and deferred financing costs, which are included in Loss on extinguishment of debt in our Unaudited Condensed Consolidated Statements of Operations for the nine-month period ended September 30, 2026.</w:t>
      </w:r>
    </w:p>
    <w:p>
      <w:pPr>
        <w:spacing w:after="0" w:line="7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paid approximately $2.2 million of loan origination and financing costs related to the HPS Credit Agreement which are being accounted for as deferred financing costs on our Unaudited Condensed Consolidated Balance Sheets and are amortized over the term of the HPS Credit Agreement. Total amortization expense was $0.1 million and $0.5 million, respectively, for the three- and nine-month periods ended September 30, 2026, and $0.1 million and $0.4 million, respectively, for the prior-year periods and is included in interest expense in our Unaudited Condensed Consolidated Statements of Operations. As of September 30, 2026 and December 31, 2025, the balance of unamortized deferred financing costs related to the HPS Credit Agreement was $1.0 million and $1.6 million, respectively.</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December 3, 2024, Gogo, GIH, and the Guarantors entered into a guarantee agreement (the “HPS Guarantee Agreement”) in favor of HPS Investment Partners, LLC, as collateral agent (the “HPS Collateral Agent”), whereby GIH and the Guarantors guarantee the obligations under the HPS Term Loan Facility and certain other secured obligations as set forth in the HPS Guarantee Agreement, and GIH and the Guarantors entered into a collateral agreement (the “HPS Collateral Agreement”), in favor of the HPS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HPS Term Loan Facility and certain other secured obligations as set forth in the HPS Collateral Agreement. The liens granted under the HPS Term Loan Facility are subject to an intercreditor agreement and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granted under the 2021 Term Loan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Instruments and Hedging Activities</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the termination date. We receive payments in the amount calculated pursuant to the caps for any period in which the daily compounded SOFR rate plus a credit spread adjustment recommended by the Alternative Reference Rates Committee of 0.26% increases beyond the applicable strike rate. The notional amounts of the interest rate caps periodically decrease over the life of the caps.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16"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60" w:type="dxa"/>
            <w:vAlign w:val="bottom"/>
          </w:tcPr>
          <w:p>
            <w:pPr>
              <w:spacing w:after="0"/>
              <w:rPr>
                <w:sz w:val="20"/>
                <w:szCs w:val="20"/>
                <w:color w:val="auto"/>
              </w:rPr>
            </w:pPr>
          </w:p>
        </w:tc>
        <w:tc>
          <w:tcPr>
            <w:tcW w:w="1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0" w:type="dxa"/>
            <w:vAlign w:val="bottom"/>
          </w:tcPr>
          <w:p>
            <w:pPr>
              <w:spacing w:after="0"/>
              <w:rPr>
                <w:sz w:val="20"/>
                <w:szCs w:val="20"/>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Strike Rate</w:t>
            </w:r>
          </w:p>
        </w:tc>
        <w:tc>
          <w:tcPr>
            <w:tcW w:w="160" w:type="dxa"/>
            <w:vAlign w:val="bottom"/>
          </w:tcPr>
          <w:p>
            <w:pPr>
              <w:spacing w:after="0"/>
              <w:rPr>
                <w:sz w:val="20"/>
                <w:szCs w:val="20"/>
                <w:color w:val="auto"/>
              </w:rPr>
            </w:pPr>
          </w:p>
        </w:tc>
      </w:tr>
      <w:tr>
        <w:trPr>
          <w:trHeight w:val="209"/>
        </w:trPr>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7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7/30/2023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7/30/2024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7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7/30/2025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7/30/2026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7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7/30/2027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(loss)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 were considered to be ineffective and reclassified from other comprehensive income (loss) to earnings for the three- and nine-month periods ended September 30, 2026 and 2025. We estimate that approximately $1.2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the three-month period ended September 30, 2026, we recorded a decrease in fair value of the interest rate caps of $0.3 million, net of an immaterial amount of tax, and for the nine-month period ended September 30, 2026, we recorded a decrease in fair value of the interest rate caps of $0.8 million, net of an immaterial amount of tax. For the three-month period ended September 30, 2025, we recorded a decrease in fair value of the interest rate caps of $1.6 million, net of tax of $0.4 million and for the nine-month period ended September 30, 2025, we recorded a decrease in fair value of the interest rate caps of $7.2 million, net of tax of $1.9 million. Increases and decreases in fair value on interest rate caps above exclude amortization of the purchase price paid for the interest rate caps.</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tbl>
      <w:tblPr>
        <w:tblLayout w:type="fixed"/>
        <w:tblInd w:w="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0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2,996</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2,568</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Interest Costs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 and nine-month periods ended September 30, 2026 and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4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09"/>
        </w:trPr>
        <w:tc>
          <w:tcPr>
            <w:tcW w:w="4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53,079</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the purchase price of interest rate caps</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(784)</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(2,939)</w:t>
            </w: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(7,918)</w:t>
            </w:r>
          </w:p>
        </w:tc>
      </w:tr>
      <w:tr>
        <w:trPr>
          <w:trHeight w:val="216"/>
        </w:trPr>
        <w:tc>
          <w:tcPr>
            <w:tcW w:w="44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4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120" w:type="dxa"/>
            <w:vAlign w:val="bottom"/>
          </w:tcPr>
          <w:p>
            <w:pPr>
              <w:spacing w:after="0"/>
              <w:rPr>
                <w:sz w:val="18"/>
                <w:szCs w:val="18"/>
                <w:color w:val="auto"/>
              </w:rPr>
            </w:pPr>
          </w:p>
        </w:tc>
      </w:tr>
      <w:tr>
        <w:trPr>
          <w:trHeight w:val="216"/>
        </w:trPr>
        <w:tc>
          <w:tcPr>
            <w:tcW w:w="4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shd w:val="clear" w:color="auto" w:fill="CFF0FC"/>
          </w:tcPr>
          <w:p>
            <w:pPr>
              <w:spacing w:after="0"/>
              <w:rPr>
                <w:sz w:val="18"/>
                <w:szCs w:val="18"/>
                <w:color w:val="auto"/>
              </w:rPr>
            </w:pPr>
          </w:p>
        </w:tc>
      </w:tr>
      <w:tr>
        <w:trPr>
          <w:trHeight w:val="216"/>
        </w:trPr>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20" w:type="dxa"/>
            <w:vAlign w:val="bottom"/>
          </w:tcPr>
          <w:p>
            <w:pPr>
              <w:spacing w:after="0"/>
              <w:rPr>
                <w:sz w:val="18"/>
                <w:szCs w:val="18"/>
                <w:color w:val="auto"/>
              </w:rPr>
            </w:pPr>
          </w:p>
        </w:tc>
      </w:tr>
      <w:tr>
        <w:trPr>
          <w:trHeight w:val="25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costs</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54,796</w:t>
            </w:r>
          </w:p>
        </w:tc>
        <w:tc>
          <w:tcPr>
            <w:tcW w:w="120" w:type="dxa"/>
            <w:vAlign w:val="bottom"/>
            <w:shd w:val="clear" w:color="auto" w:fill="CFF0FC"/>
          </w:tcPr>
          <w:p>
            <w:pPr>
              <w:spacing w:after="0"/>
              <w:rPr>
                <w:sz w:val="21"/>
                <w:szCs w:val="21"/>
                <w:color w:val="auto"/>
              </w:rPr>
            </w:pPr>
          </w:p>
        </w:tc>
      </w:tr>
      <w:tr>
        <w:trPr>
          <w:trHeight w:val="628"/>
        </w:trPr>
        <w:tc>
          <w:tcPr>
            <w:tcW w:w="448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-1499235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-1499235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-1499235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-1499235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-933450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-916305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-933450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Assets and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6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63"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9, “Derivative Instruments and Hedging Activities,” for fair value information relating to our interest rate caps.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Earnout Liability: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Satcom Direct, LLC and certain of its affiliates (collectively, “Satcom Direct”) in December 2024, the purchase price included up to an additional $225 million in potential earnout payments tied to realizing certain financial performance milestones over a four-year period following the acquisition (the “Earnout Liability”). Earnout payments in respect of the first three years are payable solely in cash, and any earnout payment in respect of the fourth year is payable in two parts: the first part is payable in cash, and the second part is payable in cash or common stock of the Company, at the Company’s election. The fair value of the Earnout Liability was calculated using a Monte Carlo simulation based on future gross profit projections of Satcom Direct, gross profit volatility rates of comparable companies and a risk adjusted discount rate. The fair value measurement was based on significant unobservable inputs and thus represents a Level 3 measurement. The Earnout Liability has an estimated fair value of $40.3 million and $71.9 million as of September 30, 2026 and December 31, 2025, respectively. In April 2026, the Company paid cash of $40.0 million related to the 2025 financial performance milestones of the Earnout Liability.</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 Convertible Note:</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In February 2026, the maturity date of the note was extended for two additional years. In connection with the amendment, the Company was issued warrants to purchase common stock of the issuer. We have elected to measure our Investment in Convertible Note, including the warrants, using the fair value option and record changes in fair value, including accrued interest, in Other (income) expense, net on the Unaudited Condensed Consolidated Statements of Operations. The Company elected the fair value option for the Investment in Convertible Note to eliminate complexities of applying certain accounting models.</w:t>
      </w:r>
    </w:p>
    <w:p>
      <w:pPr>
        <w:spacing w:after="0" w:line="8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Investment in Convertible Note is included in Other non-current assets and in Prepaid expenses and other current assets on our Unaudited Condensed Consolidated Balance Sheets as of September 30, 2026 and December 31, 2025, respectively, and the reconciliation of beginning and ending balances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4"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09"/>
        </w:trPr>
        <w:tc>
          <w:tcPr>
            <w:tcW w:w="36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FF0FC"/>
          </w:tcPr>
          <w:p>
            <w:pPr>
              <w:spacing w:after="0"/>
              <w:rPr>
                <w:sz w:val="18"/>
                <w:szCs w:val="18"/>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-170815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our only financial assets and liabilities disclosed but not measured at fair value are the 2021 Term Loan Facility and the HPS Term Loan Facility, which are reflected on the Unaudited Condensed Consolidated Balance Sheets at cost. The fair value measurements are classified as Level 2 within the fair value hierarchy since they are based on quoted market prices of our instruments in markets that are not active. We estimated the fair values of the 2021 Term Loan Facility and the HPS Term Loan Facility by calculating the upfront cash payments a market participant would require to assume these obligations. The upfront cash payments used in the calculations of fair values on our Unaudited Condensed Consolidated Balance Sheets, excluding any issuance costs, are the amounts that a market participant would be willing to lend at such date to an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entity with a credit rating similar to ours and that would allow such an entity to achieve sufficient cash inflows to cover the scheduled cash outflows under the 2021 Term Loan Facility and HPS Term Loan Facility.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debt as of September 30, 2026 and December 31,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5"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4"/>
                <w:szCs w:val="24"/>
                <w:b w:val="1"/>
                <w:bCs w:val="1"/>
                <w:i w:val="1"/>
                <w:iCs w:val="1"/>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2"/>
              </w:rPr>
              <w:t xml:space="preserve">Fair Value </w:t>
            </w:r>
            <w:r>
              <w:rPr>
                <w:rFonts w:ascii="Times New Roman" w:cs="Times New Roman" w:eastAsia="Times New Roman" w:hAnsi="Times New Roman"/>
                <w:sz w:val="24"/>
                <w:szCs w:val="24"/>
                <w:b w:val="1"/>
                <w:bCs w:val="1"/>
                <w:i w:val="1"/>
                <w:iCs w:val="1"/>
                <w:color w:val="auto"/>
                <w:w w:val="92"/>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120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Facility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0"/>
              <w:spacing w:after="0" w:line="210" w:lineRule="exact"/>
              <w:rPr>
                <w:sz w:val="20"/>
                <w:szCs w:val="20"/>
                <w:color w:val="auto"/>
              </w:rPr>
            </w:pPr>
            <w:r>
              <w:rPr>
                <w:rFonts w:ascii="Times New Roman" w:cs="Times New Roman" w:eastAsia="Times New Roman" w:hAnsi="Times New Roman"/>
                <w:sz w:val="18"/>
                <w:szCs w:val="18"/>
                <w:color w:val="auto"/>
              </w:rPr>
              <w:t>600,589</w:t>
            </w:r>
            <w:r>
              <w:rPr>
                <w:rFonts w:ascii="Times New Roman" w:cs="Times New Roman" w:eastAsia="Times New Roman" w:hAnsi="Times New Roman"/>
                <w:sz w:val="24"/>
                <w:szCs w:val="24"/>
                <w:i w:val="1"/>
                <w:iCs w:val="1"/>
                <w:color w:val="auto"/>
                <w:vertAlign w:val="superscript"/>
              </w:rPr>
              <w:t>(2)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line="210" w:lineRule="exact"/>
              <w:rPr>
                <w:sz w:val="20"/>
                <w:szCs w:val="20"/>
                <w:color w:val="auto"/>
              </w:rPr>
            </w:pPr>
            <w:r>
              <w:rPr>
                <w:rFonts w:ascii="Times New Roman" w:cs="Times New Roman" w:eastAsia="Times New Roman" w:hAnsi="Times New Roman"/>
                <w:sz w:val="18"/>
                <w:szCs w:val="18"/>
                <w:color w:val="auto"/>
              </w:rPr>
              <w:t>600,225</w:t>
            </w:r>
            <w:r>
              <w:rPr>
                <w:rFonts w:ascii="Times New Roman" w:cs="Times New Roman" w:eastAsia="Times New Roman" w:hAnsi="Times New Roman"/>
                <w:sz w:val="24"/>
                <w:szCs w:val="24"/>
                <w:i w:val="1"/>
                <w:iCs w:val="1"/>
                <w:color w:val="auto"/>
                <w:vertAlign w:val="superscript"/>
              </w:rPr>
              <w:t>(2)</w:t>
            </w:r>
          </w:p>
        </w:tc>
        <w:tc>
          <w:tcPr>
            <w:tcW w:w="0" w:type="dxa"/>
            <w:vAlign w:val="bottom"/>
          </w:tcPr>
          <w:p>
            <w:pPr>
              <w:spacing w:after="0"/>
              <w:rPr>
                <w:sz w:val="1"/>
                <w:szCs w:val="1"/>
                <w:color w:val="auto"/>
              </w:rPr>
            </w:pPr>
          </w:p>
        </w:tc>
      </w:tr>
      <w:tr>
        <w:trPr>
          <w:trHeight w:val="31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HPS Term Loan Facility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221,631</w:t>
            </w:r>
            <w:r>
              <w:rPr>
                <w:rFonts w:ascii="Times New Roman" w:cs="Times New Roman" w:eastAsia="Times New Roman" w:hAnsi="Times New Roman"/>
                <w:sz w:val="24"/>
                <w:szCs w:val="24"/>
                <w:i w:val="1"/>
                <w:iCs w:val="1"/>
                <w:color w:val="auto"/>
                <w:vertAlign w:val="superscript"/>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243,273</w:t>
            </w:r>
            <w:r>
              <w:rPr>
                <w:rFonts w:ascii="Times New Roman" w:cs="Times New Roman" w:eastAsia="Times New Roman" w:hAnsi="Times New Roman"/>
                <w:sz w:val="24"/>
                <w:szCs w:val="24"/>
                <w:i w:val="1"/>
                <w:iCs w:val="1"/>
                <w:color w:val="auto"/>
                <w:vertAlign w:val="superscript"/>
              </w:rPr>
              <w:t>(3)</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27" w:lineRule="exact"/>
        <w:rPr>
          <w:rFonts w:ascii="Times New Roman" w:cs="Times New Roman" w:eastAsia="Times New Roman" w:hAnsi="Times New Roman"/>
          <w:sz w:val="18"/>
          <w:szCs w:val="18"/>
          <w:i w:val="1"/>
          <w:iCs w:val="1"/>
          <w:color w:val="auto"/>
        </w:rPr>
      </w:pPr>
    </w:p>
    <w:p>
      <w:pPr>
        <w:ind w:left="520" w:right="100" w:hanging="512"/>
        <w:spacing w:after="0" w:line="250" w:lineRule="auto"/>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2021 Term Loan Facility reflects the unaccreted debt discount of $0.8 million and $1.2 million as of September 30, 2026 and December 31, 2025, respectively. See Note 8, “Long-Term Debt and Other Liabilities,” for further information.</w:t>
      </w:r>
    </w:p>
    <w:p>
      <w:pPr>
        <w:ind w:left="520" w:right="120" w:hanging="512"/>
        <w:spacing w:after="0" w:line="260" w:lineRule="auto"/>
        <w:tabs>
          <w:tab w:leader="none" w:pos="5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HPS Term Loan Facility reflects the unaccreted debt discount of $2.3 million and $3.6 million as of September 30, 2026 and December 31, 2025, respectively. See Note 8, “Long-Term Debt and Other Liabilities,” for further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effective income tax rates for the three- and nine-month periods ended September 30, 2026 were 51.8% and 62.8%, respectively, compared to (242.8)% and 35.3%, respectively, for the prior-year periods. The effective income tax rates for the three- and nine-month periods ended September 30, 2026 were higher than the U.S. federal statutory rate of 21% primarily due to a higher estimated annual effective tax rate, driven by the greater relative impact of permanent tax differences, including stock-based compensation and non-deductible officer’s compensation, as well as state income taxes. For the three-month period ended September 30, 2025, our effective income tax rate was lower than the U.S. federal statutory rate of 21% primarily due to a small pretax loss and nondeductible officer’s compensation. For the nine-month period ended September 30, 2025, our effective income tax rate was higher than the U.S. federal statutory rate of 21% primarily due to state income taxes and nondeductible officer’s compensation, partially offset by tax benefits related to domestic research and development tax credits.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foreign, state and local net operating losses and a valuation allowance related to our convertible note investment, as it is more likely than not as of September 30, 2026 that these deferred tax assets will not be realized.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various states, and several foreign jurisdictions including, but not limited to, Canada, Switzerland, the United Kingdom, Australia, Brazil and Singapore. With a few exceptions, as of September 30, 2026, we are no longer subject to U.S. federal, state, local or foreign examinations by tax authorities for years before 2010.</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 and nine-month periods ended September 30, 2026 and 2025, and as of September 30, 2026 and December 31, 2025, we did not have a liability recorded for interest or potential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 and Retirement Plans</w:t>
      </w:r>
    </w:p>
    <w:p>
      <w:pPr>
        <w:spacing w:after="0" w:line="117"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September 30, 2026, we maintained the Amended and Restated 2024 Omnibus Equity Incentive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“A&amp;R 2024 Plan”). The A&amp;R 2024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Retirement Plans,” in our 2025 10-K for further information regarding the 2024 Plan. The majority of our equity grants are awarded on an annual basis.</w:t>
      </w:r>
    </w:p>
    <w:p>
      <w:pPr>
        <w:spacing w:after="0" w:line="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Additionally, in connection with the Company’s acquisition of Satcom Direct on December 3, 2024, 2,275,000 shares were granted, consisting of a combination of RSUs and performance-based restricted stock units (“PSUs”) (together, the “Inducement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Awards”) by the Compensation Committee. The RSUs will vest in equal annual installments over the five-year period following the grant date. The PSUs are subject to performance-based vesting and will vest when the performance-based vesting conditions are met. Though not awarded pursuant to the 2024 Plan, the Inducement Awards have been issued subject to the terms and conditions of the 2024 Plan.</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the nine-month period ended September 30, 2026, no options to purchase shares of common stock were granted, options to purchase 61,666 shares of common stock were exercised, no options to purchase shares of common stock were forfeited and 160,514 options to purchase shares of common stock expired.</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the nine-month period ended September 30, 2026, 3,039,955 RSUs were granted, 1,138,455 RSUs vested and 344,650 RSUs were forfeited. The fair value of the RSUs granted during the nine-month period ended September 30, 2026 was approximately $11.8 million, which will generally be recognized over a period of four years.</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the nine-month period ended September 30, 2026, 422,341 deferred stock units were granted, 320,979 vested and none were forfeited. The fair value of the deferred stock units granted during the nine-month period ended September 30, 2026 was approximately $1.2 million, which will generally be recognized in 2026.</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nine-month period ended September 30, 2026, 158,089 shares of common stock were issued under the Employee Stock Purchase Plan.</w:t>
      </w:r>
    </w:p>
    <w:p>
      <w:pPr>
        <w:spacing w:after="0" w:line="117"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1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Retirement Plans — </w:t>
      </w:r>
      <w:r>
        <w:rPr>
          <w:rFonts w:ascii="Times New Roman" w:cs="Times New Roman" w:eastAsia="Times New Roman" w:hAnsi="Times New Roman"/>
          <w:sz w:val="18"/>
          <w:szCs w:val="18"/>
          <w:color w:val="auto"/>
        </w:rPr>
        <w:t>We have a 401(k) plan for U.S.-based employees, as well as various defined contribution plans for international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U.S. employees may make tax-deferred contributions under the 401(k) plan, subject to Internal Revenue Service limitations. We match contributions towards the 401(k) plan and international defined contribution plans, subject to annual limitations. Our matching contributions were $0.9 million and $2.5 million, respectively, during the three- and nine-month periods ended September 30, 2026, and $1.0 million and $3.1 million, respectively, during the prior-year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Operating and Financing Leases — </w:t>
      </w:r>
      <w:r>
        <w:rPr>
          <w:rFonts w:ascii="Times New Roman" w:cs="Times New Roman" w:eastAsia="Times New Roman" w:hAnsi="Times New Roman"/>
          <w:sz w:val="18"/>
          <w:szCs w:val="18"/>
          <w:color w:val="auto"/>
        </w:rPr>
        <w:t>We determine whether a contract contains a lease at contract inception and calculate the lease liability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right-of-use asset using our incremental borrowing rate. We have operating lease agreements primarily related to cell sites, data centers, satellites and office buildings. Our cell site leases generally have terms of five to ten years, with renewal options for an additional five to 25 years. For certain cell sites, the renewal options are deemed to be reasonably certain to be exercised. Our data center leases have original terms between one to four years with unlimited one-year renewal options, some of which are reasonably certain to be exercised. Our building leases have original terms of ten years, with renewal options for an additional five years, which are reasonably certain to be exercised. We recognize operating lease expense on a straight-line basis over the lease term. As of September 30, 2026, there were no significant leases which had not commenced.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7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10"/>
        </w:trPr>
        <w:tc>
          <w:tcPr>
            <w:tcW w:w="7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9"/>
        </w:trPr>
        <w:tc>
          <w:tcPr>
            <w:tcW w:w="760" w:type="dxa"/>
            <w:vAlign w:val="bottom"/>
          </w:tcPr>
          <w:p>
            <w:pPr>
              <w:spacing w:after="0"/>
              <w:rPr>
                <w:sz w:val="18"/>
                <w:szCs w:val="18"/>
                <w:color w:val="auto"/>
              </w:rPr>
            </w:pPr>
          </w:p>
        </w:tc>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4"/>
                <w:szCs w:val="24"/>
                <w:i w:val="1"/>
                <w:iCs w:val="1"/>
                <w:color w:val="auto"/>
                <w:vertAlign w:val="superscript"/>
              </w:rPr>
              <w:t>(1)</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35,688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27,783</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9"/>
        </w:trPr>
        <w:tc>
          <w:tcPr>
            <w:tcW w:w="760" w:type="dxa"/>
            <w:vAlign w:val="bottom"/>
          </w:tcPr>
          <w:p>
            <w:pPr>
              <w:spacing w:after="0"/>
              <w:rPr>
                <w:sz w:val="21"/>
                <w:szCs w:val="21"/>
                <w:color w:val="auto"/>
              </w:rPr>
            </w:pPr>
          </w:p>
        </w:tc>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27,831</w:t>
            </w:r>
          </w:p>
        </w:tc>
        <w:tc>
          <w:tcPr>
            <w:tcW w:w="120" w:type="dxa"/>
            <w:vAlign w:val="bottom"/>
            <w:shd w:val="clear" w:color="auto" w:fill="CFF0FC"/>
          </w:tcPr>
          <w:p>
            <w:pPr>
              <w:spacing w:after="0"/>
              <w:rPr>
                <w:sz w:val="21"/>
                <w:szCs w:val="21"/>
                <w:color w:val="auto"/>
              </w:rPr>
            </w:pPr>
          </w:p>
        </w:tc>
        <w:tc>
          <w:tcPr>
            <w:tcW w:w="720" w:type="dxa"/>
            <w:vAlign w:val="bottom"/>
          </w:tcPr>
          <w:p>
            <w:pPr>
              <w:spacing w:after="0"/>
              <w:rPr>
                <w:sz w:val="21"/>
                <w:szCs w:val="21"/>
                <w:color w:val="auto"/>
              </w:rPr>
            </w:pPr>
          </w:p>
        </w:tc>
      </w:tr>
      <w:tr>
        <w:trPr>
          <w:trHeight w:val="629"/>
        </w:trPr>
        <w:tc>
          <w:tcPr>
            <w:tcW w:w="760" w:type="dxa"/>
            <w:vAlign w:val="bottom"/>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-933450</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-916305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-933450</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-916305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-916305</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-933450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-916305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7" w:lineRule="exact"/>
        <w:rPr>
          <w:sz w:val="20"/>
          <w:szCs w:val="20"/>
          <w:color w:val="auto"/>
        </w:rPr>
      </w:pPr>
    </w:p>
    <w:p>
      <w:pPr>
        <w:ind w:right="680" w:firstLine="517"/>
        <w:spacing w:after="0" w:line="282" w:lineRule="auto"/>
        <w:tabs>
          <w:tab w:leader="none" w:pos="7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short-term and variable lease cost of $6.7 million and $21.7 million, respectively, for the three- and nine-month periods ended September 30, 2026 and $5.1 million and $14.1 million, respectively, for the prior-year periods.</w:t>
      </w:r>
    </w:p>
    <w:p>
      <w:pPr>
        <w:spacing w:after="0" w:line="52"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8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 years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61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Financing leases</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rPr>
              <w:t>Less than one</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year</w:t>
            </w: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0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September 30, 2026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(period from October 1 to December 31)</w:t>
            </w: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64,188</w:t>
            </w:r>
          </w:p>
        </w:tc>
        <w:tc>
          <w:tcPr>
            <w:tcW w:w="120" w:type="dxa"/>
            <w:vAlign w:val="bottom"/>
            <w:shd w:val="clear" w:color="auto" w:fill="CFF0FC"/>
          </w:tcPr>
          <w:p>
            <w:pPr>
              <w:spacing w:after="0"/>
              <w:rPr>
                <w:sz w:val="21"/>
                <w:szCs w:val="21"/>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1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Reported as of September 30, 2026</w:t>
            </w:r>
          </w:p>
        </w:tc>
        <w:tc>
          <w:tcPr>
            <w:tcW w:w="4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2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64,188</w:t>
            </w:r>
          </w:p>
        </w:tc>
        <w:tc>
          <w:tcPr>
            <w:tcW w:w="1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-607695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-590550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-607695</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-590550</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6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(“SmartSky”) brought suit against Gogo Inc. and its subsidiary Gogo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Aviation LLC in the U.S. District Court for the District of Delaware (the “Court”) alleging that Gogo 5G infringes four patents owned by the plaintiff. On February 21, 2023, the plaintiff amended its complaint to allege that Gogo 5G infringes two additional patents that had been recently issued to the plaintiff. The suit seeks compensatory damages as well as treble damages for alleged willful infringement and reimbursement of plaintiff's costs, disbursements and attorneys' fees. On May 29, 2024, Gogo Inc. and its subsidiary Gogo Business Aviation LLC amended their answer and counterclaims in the same suit, alleging that three of the six patents asserted by the plaintiff are unenforceable due to inequitable conduct before the U.S. Patent Office. A number of dispositive motions were filed on October 25, 2025, and the Court issued orders resolving those motions. SmartSky’s motions were denied. Gogo’s motion for summary judgment of invalidity on one of SmartSky’s asserted patents was granted. The Court also</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granted Gogo’s motion for summary judgment of no lost profits and Gogo’s motion to exclude SmartSky’s damages expert’s opinions on lost profits and reasonable royalty damages. On November 17, 2025, the Court commenced a jury trial on the plaintiff’s claims. On November 21, 2025, the jury determined that Gogo willfully infringed the plaintiff’s asserted patents and returned a verdict in the total amount of $22.7 million. A one-day bench trial was held on March 4, 2026, to address Gogo’s inequitable conduct defense. Post-trial briefs on the jury trial were completed on April 29, 2026. Post-trial briefs on the bench trial were completed on May 8, 2026. On September 30, 2026, the Court granted Gogo’s post-trial motion as to damages, ruling that SmartSky failed to prove recoverable damages. The Court denied Gogo’s post-trial motion in all other respects and resolved Gogo’s inequitable conduct defense against Gogo. Final judgment has not been entered as Gogo’s counterclaim suit remains pending, as discussed below. On November 3, 2026, Gogo and SmartSky filed a joint motion requesting entry of final judgment on SmartSky’s claims against Gogo. We will vigorously defend our position in the infringement suit in the appellate court if necessary. The outcome of the litigation is inherently uncertain.</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On December 31, 2025, Gogo Inc. and its subsidiary Gogo Business Aviation LLC amended their counterclaims to add Apcela IFC JV, LLC as a counterclaim defendant. On July 22, 2026, the Court issued its Markman order. Under a schedule agreed upon by the parties, fact discovery will be completed by February 24, 2027, with dispositive motions due August 13, 2027. A trial date has been scheduled for December 2027.</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December 16, 2024, SmartSky sued Gogo Inc. and its subsidiaries in the U.S. District Court for the Western District of North Carolina alleging that Gogo maintains an illegal monopoly over air-to-ground broadband inflight connectivity products and services and has blocked SmartSky from entering the market in violation of antitrust laws. SmartSky also alleges claims of false advertising, unfair and deceptive trade practices, and tortious interference. The suit seeks actual damages, treble damages, punitive damages, disgorgement of profits, reimbursement of plaintiff's costs, attorneys’ fees, pre- and post-judgment interest, and interest on actual damages. On March 14, 2025, Gogo Inc. and its subsidiary Gogo Business Aviation LLC filed a motion to dismiss for failure to state a claim. On July 10, 2026, the parties submitted Court-ordered briefing on the issue of whether a final judgment in the Delaware patent case would be preclusive in this case. The motion to dismiss is still pending. Discovery is expected to be completed by February 5, 2027 and a trial date has been scheduled for July 12, 2027. We will vigorously defend our position in this lawsuit. The outcome of the litigation is inherently uncertain.</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HPS Litigation </w:t>
      </w:r>
      <w:r>
        <w:rPr>
          <w:rFonts w:ascii="Times New Roman" w:cs="Times New Roman" w:eastAsia="Times New Roman" w:hAnsi="Times New Roman"/>
          <w:sz w:val="18"/>
          <w:szCs w:val="18"/>
          <w:color w:val="auto"/>
        </w:rPr>
        <w:t>– On September 29, 2026, HPS, as the administrative agent of the HPS Credit Agreement, filed a lawsuit against Gogo Inc., GIH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subsidiaries in the Supreme Court for State of New York, County of New York, claiming that GIH as borrower, and Gogo Inc. and the other subsidiaries as guarantors, breached the HPS Credit Agreement when GIH failed to pay an additional amount of approximately $15 million in April 2026 allegedly owed to the lenders party to the HPS Credit Agreement under the mandatory prepayment provision for 2025 excess cash flow. The Company paid $21.1 million of the outstanding principal amount of the HPS Term Loan Facility in April 2026 as scheduled under the mandatory prepayment provision for the 2025 excess cash flow. The suit seeks a money judgment of approximately $15 million, default interest, a declaratory judgment regarding the excess cash flow calculation for fiscal year 2025 and subsequent fiscal years, pre- and post-judgment interest, and attorneys' fees and costs of collection. The Company’s answer to HPS’s complaint is due on November 20, 2026. The lawsuit remains in its early stages and, at this point, we cannot reasonably predict its outcome or any potentially associated losses, which are inherently uncertain. We believe the Company has strong defenses to the asserted claims, and we will vigorously defend our position in the lawsuit.</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 The Company’s accrual for probable and estimable loss contingencies for the aforementioned litigation in which we are a defendant was $10.0 million and $11.5 million as of September 30, 2026 and December 31, 2025, respectively, and is recorded in Accrued liabilities on the Unaudited Condensed Consolidated Balance Sheets.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 (Loss)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Borders>
              <w:lef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bottom w:val="single" w:sz="8" w:color="CFF0FC"/>
            </w:tcBorders>
            <w:shd w:val="clear" w:color="auto" w:fill="CFF0FC"/>
          </w:tcPr>
          <w:p>
            <w:pPr>
              <w:spacing w:after="0"/>
              <w:rPr>
                <w:sz w:val="18"/>
                <w:szCs w:val="18"/>
                <w:color w:val="auto"/>
              </w:rPr>
            </w:pPr>
          </w:p>
        </w:tc>
        <w:tc>
          <w:tcPr>
            <w:tcW w:w="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tcBorders>
              <w:left w:val="single" w:sz="8" w:color="CFF0FC"/>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(1,496)</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tcBorders>
              <w:left w:val="single" w:sz="8" w:color="CFF0FC"/>
            </w:tcBorders>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20"/>
        </w:trPr>
        <w:tc>
          <w:tcPr>
            <w:tcW w:w="482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Borders>
              <w:top w:val="single" w:sz="8" w:color="CFF0FC"/>
            </w:tcBorders>
            <w:vMerge w:val="restart"/>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40" w:type="dxa"/>
            <w:vAlign w:val="bottom"/>
            <w:tcBorders>
              <w:left w:val="single" w:sz="8" w:color="CFF0FC"/>
            </w:tcBorders>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40" w:type="dxa"/>
            <w:vAlign w:val="bottom"/>
            <w:tcBorders>
              <w:lef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40" w:type="dxa"/>
            <w:vAlign w:val="bottom"/>
            <w:tcBorders>
              <w:left w:val="single" w:sz="8" w:color="CFF0FC"/>
            </w:tcBorders>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-1567815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-1567815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-1567815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-1276985</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-1259205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-1276985</wp:posOffset>
            </wp:positionV>
            <wp:extent cx="514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-1259205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-1276985</wp:posOffset>
            </wp:positionV>
            <wp:extent cx="514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-1259205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-316230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-316230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514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November 6, 2026, the third amendment to the 2021 Credit Agreement was entered into. For more information, see Note 8, “Long-Term Debt and Other Liabilities,” for further information.</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5" w:right="5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acquisitions,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revenue from the provision of our connectivity and other service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single-source, third party satellite network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components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high-quality customer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and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U.S.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non-U.S. government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finite useful life of satellites;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supply chain and logistics issues, tariffs and inflationary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expansion of our business outside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expansion geographically and otherwise on our corporate culture;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 and the loss of any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outbreaks of contagious diseases, and the measures implemented to combat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 and geopolitical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tax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 and other sustainability-related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deployed Gogo 5G and Gogo Galileo services may not compete well in the market or face problems relating to implementation;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next-generation technologies and provide products and services useful to our customers and passengers without delay in developing or deploying such technologies, products and services;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4MHz of ATG spectrum in the United States and obtain rights to additional spectrum if needed;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interruptions or delays, cyber incidents, technology failures, equipment damage or system disruptions or failures;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6" w:name="page27"/>
    <w:bookmarkEnd w:id="26"/>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use of artificial intelligence in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open-source software;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 or material defects or errors in our software;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foreign ownership limitations;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regulation of communication networks, and the internet;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participation in the Federal Communications Commission (“FCC”) Supply Chain Reimbursement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anti-corruption, anti-money laundering and export control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distribution of income among various jurisdictions in which we operate as well as changes in tax law or regulation on our U.S. and non-U.S. tax liabilities;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laws and regulations on U.S. government 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substantial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to refinance or repay our existing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restrictions and limitations in the agreements governing our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increases in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substantial portion of our indebtedness being secured by substantially all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downgrade, suspension or withdrawal of the rating assigned by a rating agency;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our tax losses;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impact of potential future stock issuances;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stockholder concentration and of our chair of the Board being a significant stockholder;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fulfill our obligations associated with being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identified material weakness in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anti-takeover provisions, ownership provisions and certain other provisions in our charter, our bylaws, Delaware law, and our existing and any future credit facilities;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the 2025 10-K.</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2025 10-K. Our actual results may differ materially from those contained in or implied by any forward-looking statements.</w:t>
      </w:r>
    </w:p>
    <w:p>
      <w:pPr>
        <w:spacing w:after="0" w:line="70"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Gogo is the only multi-orbit, multi-band in-flight connectivity provider offering connectivity technology purpose-built for business and military/government aviation. We have a holistic approach of providing broadband connectivity services to our customers from small to large aircraft and heavy jets through our ATG technology and integrated LEO and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may use our website at </w:t>
      </w:r>
      <w:r>
        <w:rPr>
          <w:rFonts w:ascii="Times New Roman" w:cs="Times New Roman" w:eastAsia="Times New Roman" w:hAnsi="Times New Roman"/>
          <w:sz w:val="18"/>
          <w:szCs w:val="18"/>
          <w:u w:val="single" w:color="auto"/>
          <w:color w:val="auto"/>
        </w:rPr>
        <w:t>http://ir.gogoair.com</w:t>
      </w:r>
      <w:r>
        <w:rPr>
          <w:rFonts w:ascii="Times New Roman" w:cs="Times New Roman" w:eastAsia="Times New Roman" w:hAnsi="Times New Roman"/>
          <w:sz w:val="18"/>
          <w:szCs w:val="18"/>
          <w:color w:val="auto"/>
        </w:rPr>
        <w:t xml:space="preserve"> as a distribution channel of material company information, and so investors should monitor it. 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and others can receive notifications of new information posted on our investor relations website in real-time by signing up for email alerts and RSS feeds. The contents of our websites are not intended to be incorporated by reference into this Quarterly Report on Form 10-Q or in any other report or document we file with the SEC, and any references to our websites are intended to be inactive textual references only.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and military/government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8" w:lineRule="exact"/>
        <w:rPr>
          <w:sz w:val="20"/>
          <w:szCs w:val="20"/>
          <w:color w:val="auto"/>
        </w:rPr>
      </w:pPr>
    </w:p>
    <w:p>
      <w:pPr>
        <w:ind w:left="1020" w:right="3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on a timely basis and costs associated with the ongoing implementation of our technology roadmap, including installation of and/or upgrades to the ATG Broadband technologies we currently offer, Gogo 5G, Gogo Galileo, LTE and any other next-generation or other new technology that we develop or acquire;</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technological shifts, failures or delays on the part of antenna, chipset, and other equipment developers and providers or satellite network providers, some of which are single-source;</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ATG network and operations as technology and user expectations change;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consolidations or changes in fleet size by one or more of our large-fleet customers;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 including the impact on demand for aviation travel of increases in fuel costs and other inflationary pressures stemming from recent conflicts in the Middle East;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in the aviation industry and installations of our equipment driven by, among other things, labor shortages;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 including, without limitation, electronic components such as semiconductor memory and storage products (among others, dynamic random access memory (“DRAM”) and NAND flash memory), due to the surging buildout of artificial intelligence-related computing infrastructure;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policies and interpretations affecting our business, the business of our customers and suppliers globally, including changes that impact the design of our equipment and our ability to obtain required certifications for our equipment and services, and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and Gogo 5G, expand our service offerings and manage our network; and</w:t>
      </w:r>
    </w:p>
    <w:p>
      <w:pPr>
        <w:spacing w:after="0" w:line="75" w:lineRule="exact"/>
        <w:rPr>
          <w:rFonts w:ascii="Times New Roman" w:cs="Times New Roman" w:eastAsia="Times New Roman" w:hAnsi="Times New Roman"/>
          <w:sz w:val="18"/>
          <w:szCs w:val="18"/>
          <w:color w:val="auto"/>
        </w:rPr>
      </w:pPr>
    </w:p>
    <w:p>
      <w:pPr>
        <w:ind w:left="1020" w:right="480" w:hanging="503"/>
        <w:spacing w:after="0" w:line="281"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enactment of, and proposals for, trade protection measures by the United States as well as other countries (including United States “reciprocal” tariffs that began in 2025), including increases or changes in tariffs and trade barriers, changes in government policies and international trade arrangements, the impact of tariff refund claims, geopolitical volatility, and global macroeconomic conditions, or uncertainty regarding the impact of proposed or future trade protection measures, may affect our results of operations in some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business metrics, to evaluate the performance of our business and our success in executing our business plan, make decisions regarding resource allocation and corporate strategies, and evaluate forward-looking projections.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4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4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ATG aircraft online</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AVANCE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Gogo 5G</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Gogo Biz</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Pr>
          <w:p>
            <w:pPr>
              <w:spacing w:after="0"/>
              <w:rPr>
                <w:sz w:val="18"/>
                <w:szCs w:val="18"/>
                <w:color w:val="auto"/>
              </w:rPr>
            </w:pPr>
          </w:p>
        </w:tc>
      </w:tr>
      <w:tr>
        <w:trPr>
          <w:trHeight w:val="210"/>
        </w:trPr>
        <w:tc>
          <w:tcPr>
            <w:tcW w:w="4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ATG aircraft online</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GEO aircraft online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Gogo Galileo aircraft online</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r>
      <w:tr>
        <w:trPr>
          <w:trHeight w:val="198"/>
        </w:trPr>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Average monthly connectivity service revenue per ATG aircraft</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online</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tcPr>
          <w:p>
            <w:pPr>
              <w:spacing w:after="0"/>
              <w:rPr>
                <w:sz w:val="20"/>
                <w:szCs w:val="20"/>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ATG units sold</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FF0FC"/>
          </w:tcPr>
          <w:p>
            <w:pPr>
              <w:spacing w:after="0"/>
              <w:rPr>
                <w:sz w:val="18"/>
                <w:szCs w:val="18"/>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Gogo Galileo units shipped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r>
    </w:tbl>
    <w:p>
      <w:pPr>
        <w:spacing w:after="0" w:line="123" w:lineRule="exact"/>
        <w:rPr>
          <w:sz w:val="20"/>
          <w:szCs w:val="20"/>
          <w:color w:val="auto"/>
        </w:rPr>
      </w:pPr>
    </w:p>
    <w:p>
      <w:pPr>
        <w:ind w:left="1020" w:right="14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AVANCE aircraft online. </w:t>
      </w:r>
      <w:r>
        <w:rPr>
          <w:rFonts w:ascii="Times New Roman" w:cs="Times New Roman" w:eastAsia="Times New Roman" w:hAnsi="Times New Roman"/>
          <w:sz w:val="18"/>
          <w:szCs w:val="18"/>
          <w:color w:val="auto"/>
        </w:rPr>
        <w:t>We define AVANCE aircraft online as the total number of aircraft equipped with our AVANCE L5 or L3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excluding Gogo 5G systems, for which we provide ATG services to business aviation customers in the last month of the period presented. This number excludes military/government AVANCE aircraft online.</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Gogo 5G aircraft online. </w:t>
      </w:r>
      <w:r>
        <w:rPr>
          <w:rFonts w:ascii="Times New Roman" w:cs="Times New Roman" w:eastAsia="Times New Roman" w:hAnsi="Times New Roman"/>
          <w:sz w:val="18"/>
          <w:szCs w:val="18"/>
          <w:color w:val="auto"/>
        </w:rPr>
        <w:t>We define Gogo 5G aircraft online as the total number of aircraft equipped with our Gogo 5G system for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ATG services to business aviation customers in the last month of the period presented. This number excludes military/government Gogo 5G aircraft online.</w:t>
      </w:r>
    </w:p>
    <w:p>
      <w:pPr>
        <w:spacing w:after="0" w:line="65" w:lineRule="exact"/>
        <w:rPr>
          <w:rFonts w:ascii="Times New Roman" w:cs="Times New Roman" w:eastAsia="Times New Roman" w:hAnsi="Times New Roman"/>
          <w:sz w:val="18"/>
          <w:szCs w:val="18"/>
          <w:color w:val="auto"/>
        </w:rPr>
      </w:pPr>
    </w:p>
    <w:p>
      <w:pPr>
        <w:ind w:left="1020" w:right="200" w:hanging="503"/>
        <w:spacing w:after="0" w:line="26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Gogo Biz aircraft online. </w:t>
      </w:r>
      <w:r>
        <w:rPr>
          <w:rFonts w:ascii="Times New Roman" w:cs="Times New Roman" w:eastAsia="Times New Roman" w:hAnsi="Times New Roman"/>
          <w:sz w:val="18"/>
          <w:szCs w:val="18"/>
          <w:color w:val="auto"/>
        </w:rPr>
        <w:t>We define Gogo Biz aircraft online as the total number of aircraft not equipped with our AVANCE or Gogo 5G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for which we provide ATG services to business aviation customers in the last month of the period presented. This number excludes commercial aircraft operated by Intelsat’s airline customers as well as military/government aircraft receiving ATG service.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ind w:left="1020" w:right="540" w:hanging="503"/>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GEO aircraft online</w:t>
      </w:r>
      <w:r>
        <w:rPr>
          <w:rFonts w:ascii="Times New Roman" w:cs="Times New Roman" w:eastAsia="Times New Roman" w:hAnsi="Times New Roman"/>
          <w:sz w:val="18"/>
          <w:szCs w:val="18"/>
          <w:color w:val="auto"/>
        </w:rPr>
        <w:t>. We define GEO aircraft online as the total number of aircraft for which we provide GEO broadband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aviation customers as of the last day of each period presented. This number excludes aircraft receiving services through GEO satellite networks that are end-of-life and military/government GEO aircraft online.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Gogo Galileo aircraft online</w:t>
      </w:r>
      <w:r>
        <w:rPr>
          <w:rFonts w:ascii="Times New Roman" w:cs="Times New Roman" w:eastAsia="Times New Roman" w:hAnsi="Times New Roman"/>
          <w:sz w:val="18"/>
          <w:szCs w:val="18"/>
          <w:color w:val="auto"/>
        </w:rPr>
        <w:t>. We define Gogo Galileo aircraft online as the total number of aircraft for which we provide Gogo Galileo LEO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broadband services in the last month of the period presented. This number excludes military/government Gogo Galileo aircraft online. This metric was not presented prior to the fiscal year ended December 31, 2025, as Gogo Galileo was only first deployed in 2025.</w:t>
      </w:r>
    </w:p>
    <w:p>
      <w:pPr>
        <w:spacing w:after="0" w:line="65"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(“ARPU”). </w:t>
      </w:r>
      <w:r>
        <w:rPr>
          <w:rFonts w:ascii="Times New Roman" w:cs="Times New Roman" w:eastAsia="Times New Roman" w:hAnsi="Times New Roman"/>
          <w:sz w:val="18"/>
          <w:szCs w:val="18"/>
          <w:color w:val="auto"/>
        </w:rPr>
        <w:t>We define ARPU as the aggregate ATG connectivity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ATG units sold</w:t>
      </w:r>
      <w:r>
        <w:rPr>
          <w:rFonts w:ascii="Times New Roman" w:cs="Times New Roman" w:eastAsia="Times New Roman" w:hAnsi="Times New Roman"/>
          <w:sz w:val="18"/>
          <w:szCs w:val="18"/>
          <w:color w:val="auto"/>
        </w:rPr>
        <w:t>. We define units sold as the number of ATG units for which we recognized revenue during the period.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Gogo Galileo units shipped</w:t>
      </w:r>
      <w:r>
        <w:rPr>
          <w:rFonts w:ascii="Times New Roman" w:cs="Times New Roman" w:eastAsia="Times New Roman" w:hAnsi="Times New Roman"/>
          <w:sz w:val="18"/>
          <w:szCs w:val="18"/>
          <w:color w:val="auto"/>
        </w:rPr>
        <w:t>. We define Gogo Galileo units shipped as the number of Galileo units shipped to our distribution partners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including units used to obtain Supplemental Type Certificates.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2025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84"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goodwill impairment analysis and the fair value of the Earnout Liability associated with the acquisition of Satcom Direct have the greatest potential impact on and are the most critical to fully understanding and evaluating our reported financial results, and that they require our most difficult, subjective or complex judgments.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2025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“Basis of Presentation,” to our Unaudited Condensed Consolidated Financial Statements for additional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tables set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33"/>
        </w:trPr>
        <w:tc>
          <w:tcPr>
            <w:tcW w:w="5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40" w:type="dxa"/>
            <w:vAlign w:val="bottom"/>
            <w:gridSpan w:val="6"/>
          </w:tcPr>
          <w:p>
            <w:pPr>
              <w:jc w:val="right"/>
              <w:ind w:right="560"/>
              <w:spacing w:after="0" w:line="133"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40" w:type="dxa"/>
            <w:vAlign w:val="bottom"/>
            <w:gridSpan w:val="7"/>
          </w:tcPr>
          <w:p>
            <w:pPr>
              <w:ind w:left="280"/>
              <w:spacing w:after="0" w:line="133" w:lineRule="exact"/>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Service revenue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182,729</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189,956</w:t>
            </w:r>
          </w:p>
        </w:tc>
        <w:tc>
          <w:tcPr>
            <w:tcW w:w="1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561,733</w:t>
            </w:r>
          </w:p>
        </w:tc>
        <w:tc>
          <w:tcPr>
            <w:tcW w:w="1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582,533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Equipment revenue</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100,631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97,397</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679,930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88,039</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42,415</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580,039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99,891</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(3,251)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(1,811)</w:t>
            </w: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3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57,328</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64,488</w:t>
            </w:r>
          </w:p>
        </w:tc>
        <w:tc>
          <w:tcPr>
            <w:tcW w:w="12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(6,643)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(3,200)</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(1,930)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48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-3745230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-3745230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-3745230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-3745230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-2630805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-2630805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-2630805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-2630805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-2339340</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-2339340</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-2339340</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-2339340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-1508125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-1508125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-1508125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-1508125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-916305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-933450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-916305</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-916305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-933450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-916305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discussion of changes in the results of operations for the three- and nine-month periods ended September 30, 2026 and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Revenue and percent change for the three- and nine-month periods ended September 30, 2026 and 2025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3"/>
                <w:szCs w:val="13"/>
                <w:color w:val="auto"/>
              </w:rPr>
            </w:pPr>
          </w:p>
        </w:tc>
        <w:tc>
          <w:tcPr>
            <w:tcW w:w="19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2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over 2025</w:t>
            </w:r>
          </w:p>
        </w:tc>
        <w:tc>
          <w:tcPr>
            <w:tcW w:w="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over 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182,729</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189,956</w:t>
            </w:r>
          </w:p>
        </w:tc>
        <w:tc>
          <w:tcPr>
            <w:tcW w:w="1620" w:type="dxa"/>
            <w:vAlign w:val="bottom"/>
            <w:tcBorders>
              <w:right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561,733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582,533</w:t>
            </w:r>
          </w:p>
        </w:tc>
        <w:tc>
          <w:tcPr>
            <w:tcW w:w="1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Equipment revenue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97,397</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213,234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223,585</w:t>
            </w:r>
          </w:p>
        </w:tc>
        <w:tc>
          <w:tcPr>
            <w:tcW w:w="220" w:type="dxa"/>
            <w:vAlign w:val="bottom"/>
            <w:shd w:val="clear" w:color="auto" w:fill="CFF0FC"/>
          </w:tcPr>
          <w:p>
            <w:pPr>
              <w:spacing w:after="0"/>
              <w:rPr>
                <w:sz w:val="19"/>
                <w:szCs w:val="19"/>
                <w:color w:val="auto"/>
              </w:rPr>
            </w:pP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662,364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679,930</w:t>
            </w:r>
          </w:p>
        </w:tc>
        <w:tc>
          <w:tcPr>
            <w:tcW w:w="1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1460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1460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Total revenue decreased to $213.2 million and $662.4 million, respectively, for the three- and nine-month periods ended September 30, 2026, as compared with $223.6 million and $679.9 million, respectively, for the prior-year periods.</w:t>
      </w:r>
    </w:p>
    <w:p>
      <w:pPr>
        <w:spacing w:after="0" w:line="54"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Service revenue decreased to $182.7 million and $561.7 million, respectively, for the three- and nine-month periods ended September 30, 2026, as compared with $190.0 million and $582.5 million, respectively, for the prior-year periods due to a decrease in ATG service revenue, partially offset by an increase in broadband and narrowband satellite service revenue. See Note 3, “Revenue Recognition,” to our Unaudited Condensed Consolidated Financial Statements for additional information.</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Equipment revenue decreased to $30.5 million for the three-month period ended September 30, 2026, as compared with $33.6 million for the prior-year period due to a decrease in ATG units sold, partially offset by an increase in Gogo Galileo units sold. Equipment revenue increased to $100.6 million for the nine-month period ended September 30, 2026, as compared with $97.4 million for the prior-year period due to an increase in Gogo Galileo units sold, partially offset by a decrease in ATG units sold. See Note 3, “Revenue Recognition,” to our Unaudited Condensed Consolidated Financial Statements for additional information.</w:t>
      </w:r>
    </w:p>
    <w:p>
      <w:pPr>
        <w:spacing w:after="0" w:line="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expect service revenue to decline in the near term as a result of the expected decline in ATG and GEO services sold and increase in the future as additional aircraft come online from the launch of Gogo Galileo and Gogo 5G. We expect equipment revenue to increase in the future driven by growth in sales of our broadband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 and nine-month periods ended September 30, 2026 and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for percent change)</w:t>
      </w:r>
      <w:r>
        <w:rPr>
          <w:rFonts w:ascii="Times New Roman" w:cs="Times New Roman" w:eastAsia="Times New Roman" w:hAnsi="Times New Roman"/>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3"/>
                <w:szCs w:val="13"/>
                <w:color w:val="auto"/>
              </w:rPr>
            </w:pPr>
          </w:p>
        </w:tc>
        <w:tc>
          <w:tcPr>
            <w:tcW w:w="19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220" w:type="dxa"/>
            <w:vAlign w:val="bottom"/>
          </w:tcPr>
          <w:p>
            <w:pPr>
              <w:spacing w:after="0"/>
              <w:rPr>
                <w:sz w:val="13"/>
                <w:szCs w:val="13"/>
                <w:color w:val="auto"/>
              </w:rPr>
            </w:pPr>
          </w:p>
        </w:tc>
        <w:tc>
          <w:tcPr>
            <w:tcW w:w="12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over 2025</w:t>
            </w:r>
          </w:p>
        </w:tc>
        <w:tc>
          <w:tcPr>
            <w:tcW w:w="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over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97,295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91,593</w:t>
            </w:r>
          </w:p>
        </w:tc>
        <w:tc>
          <w:tcPr>
            <w:tcW w:w="16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293,719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277,023</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31,032</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88,039</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Cost of service revenue increased 6.2% and 6.0% to $97.3 million and $293.7 million, respectively, for the three- and nine-month periods ended September 30, 2026, as compared with $91.6 million and $277.0 million, respectively, for the prior-year periods due to an increase in satellite broadband and narrowband costs.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Cost of equipment revenue decreased 0.1% to $31.0 million for the three-month period ended September 30, 2026, as compared with $31.0 million for the prior-year period due to a decrease in ATG units sold partially offset by an increase in Gogo Galileo units sold. Cost of equipment revenue increased 10.3% to $97.1 million for the nine-month period ended September 30, 2026, as compared with $88.0 million for the prior-year period due to an increase in Gogo Galileo units sold.</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expect that our cost of service revenue will increase in the future driven by the growth in satellite broadband services and expect that our cost of equipment revenue will increase with growth in units sold.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Engineering, design and development expenses decreased 36.7% and 38.0% to $9.9 million and $26.1 million, respectively, for the three- and nine-month periods ended September 30, 2026, as compared with $15.7 million and $42.1 million, respectively, for the prior-year periods. The decrease for the three-month period is due to lower development spending. The decrease for the nine-month period is due to $6.4 million of lower development spending, $5.8 million of reimbursement of costs incurred in the prior year related to the FCC Reimbursement Program and lower personnel-related costs of $2.8 million.</w:t>
      </w:r>
    </w:p>
    <w:p>
      <w:pPr>
        <w:spacing w:after="0" w:line="7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expect engineering, design and development expenses to increase in the near-term, driven by development spending on new programs, and to decrease as a percentage of service revenue in the long-term.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2.8% to $13.8 million for the three-month period ended September 30, 2026 as compared with $13.5 million for the prior-year period. Sales and marketing expenses decreased 4.2% to $40.6 million for the nine-month period ended September 30, 2026 as compared with $42.4 million for the prior-year period due to lower marketing costs.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sales and marketing expenses as a percentage of service revenue to remain relatively steady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1.1% and 9.6% to $27.6 million and $77.8 million, respectively, for the three- and nine-month periods ended September 30, 2026, as compared with $27.9 million and $86.0 million, respectively, for the prior-year periods. The decrease for the nine-month period is due to a $10.9 million decrease in personnel costs and $5.7 million decrease in acquisition and integration-related costs, partially offset by a $5.3 million increase in legal costs.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general and administrative expenses to decrease over time as acquisition and integration activities complete.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8.2% and 9.3% to $16.5 million and $48.6 million, respectively, for the three- and nine-month periods ended September 30, 2026, as compared with $15.2 million and $44.5 million, respectively, for the prior-year periods due to depreciation of the Gogo 5G network.</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 will remain relatively flat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19" w:lineRule="exact"/>
        <w:rPr>
          <w:sz w:val="20"/>
          <w:szCs w:val="20"/>
          <w:color w:val="auto"/>
        </w:rPr>
      </w:pPr>
    </w:p>
    <w:p>
      <w:pPr>
        <w:ind w:right="7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Other expense (income) and percent change for the three- and nine-month periods ended September 30, 2026 and 2025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for percent change)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31"/>
        </w:trPr>
        <w:tc>
          <w:tcPr>
            <w:tcW w:w="47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360" w:type="dxa"/>
            <w:vAlign w:val="bottom"/>
            <w:gridSpan w:val="5"/>
          </w:tcPr>
          <w:p>
            <w:pPr>
              <w:jc w:val="right"/>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3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over 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(1,479)</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17,681</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15,000</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29,306</w:t>
            </w: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over 2025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8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(2,746)</w:t>
            </w: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(3,251)</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50,650</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18,900</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(1,811)</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57,328</w:t>
            </w:r>
          </w:p>
        </w:tc>
        <w:tc>
          <w:tcPr>
            <w:tcW w:w="160" w:type="dxa"/>
            <w:vAlign w:val="bottom"/>
          </w:tcPr>
          <w:p>
            <w:pPr>
              <w:spacing w:after="0"/>
              <w:rPr>
                <w:sz w:val="19"/>
                <w:szCs w:val="19"/>
                <w:color w:val="auto"/>
              </w:rPr>
            </w:pPr>
          </w:p>
        </w:tc>
        <w:tc>
          <w:tcPr>
            <w:tcW w:w="9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64,488</w:t>
            </w:r>
          </w:p>
        </w:tc>
        <w:tc>
          <w:tcPr>
            <w:tcW w:w="20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-1305560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-1288415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-1305560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-1288415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-1305560</wp:posOffset>
            </wp:positionV>
            <wp:extent cx="1454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-1288415</wp:posOffset>
            </wp:positionV>
            <wp:extent cx="1454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-156845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-156845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-156845</wp:posOffset>
            </wp:positionV>
            <wp:extent cx="1454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-10795</wp:posOffset>
            </wp:positionV>
            <wp:extent cx="28289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-95885</wp:posOffset>
            </wp:positionV>
            <wp:extent cx="28289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Total other expense decreased to $23.8 million for the three-month period ended September 30, 2026, as compared with $29.3 million for the prior-year period due to the change in fair value of the Earnout Liability from the Satcom Direct acquisition, partially offset by the reversal of a credit loss reserve in the prior-year period and the change in fair value of a convertible note investment. Total other expense decreased to $57.3 million for the nine-month period ended September 30, 2026, as compared with $64.5 million for the prior-year period due to the change in fair value of the Earnout Liability from the Satcom Direct acquisition and the change in fair value of a convertible note investment, partially offset by a decrease in interest income, an increase in interest expense and the reversal of a credit loss reserve in the prior-year period.</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the change in fair value of the Earnout Liability to fluctuate in the future depending on performance of the Satcom Direct business. We expect our interest expense to fluctuate in the future based on changes in the variable rates associated with our indebtedness and the timing of prepayments associated with the 2026 Extended Term Loan Facility. The benefit we receive from our interest rate caps will decrease over time as our hedge notional amount decreases and the strike rate increases. See Note 8, “Long-Term Debt and Other Liabilities,” to our Unaudited Condensed Consolidated Financial Statements for additional information.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income tax rate for the three- and nine-month periods ended September 30, 2026 was 51.8% and 62.8%, respectively, as compared with (242.8)% and 35.3%, respectively, for the prior-year periods. For the three- and nine-month periods ended September 30, 2026, our income tax provision (benefit) was $(3.4) million and $13.3 million, respectively, due to a higher estimated annual effective tax rate, driven by the relative impact of permanent tax differences, including stock-based compensation and non-deductible officer’s compensation, as well as state income taxes. For the three- and nine-month periods ended September 30, 2025, our income tax provision was $1.4 million and $12.5 million, respectively, due to the pre-tax income generated in the period. See Note 12, “Income Tax,” to our Unaudited Condensed Consolidated Financial Statements for additional information.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income tax provision to increase in the long term as we continue to generate positive pre-tax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(loss) attributable to common stock as a measure of operating results and (iii) use Free Cash Flow in addition to, and not as an alternative to, consolidated net cash provided by operating activities when evaluating our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Reconciliation of Non-GAAP Measures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(loss) attributable to common stock before interest expense, interest income, income taxes and depreciation and amortization expense.</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(ii) acquisition and integration-related costs, including amortization of acquisition-related inventory step-up costs and changes in fair value of the Earnout Liability, (iii) litigation settlement accrual costs, (iv) change in fair value of convertible note investment, and (v)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outside of the ordinary course of our operations and do not reflect our operating performance.</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litigation settlement accrual costs from Adjusted EBITDA because this activity is outside of the ordinary course of our operations and does not reflect our operating performance.</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change in fair value of convertible note investment from Adjusted EBITDA because this activity is not related to our operating performance.</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loss on extinguishment of debt from Adjusted EBITDA because this activity is not related to our operating performance.</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5" w:name="page36"/>
    <w:bookmarkEnd w:id="35"/>
    <w:p>
      <w:pPr>
        <w:ind w:right="180" w:firstLine="562"/>
        <w:spacing w:after="0" w:line="258"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 that management uses as the basis for making capital allocation decisions.</w:t>
      </w:r>
    </w:p>
    <w:p>
      <w:pPr>
        <w:spacing w:after="0" w:line="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(in thousands, unaudited)</w:t>
      </w:r>
    </w:p>
    <w:tbl>
      <w:tblPr>
        <w:tblLayout w:type="fixed"/>
        <w:tblInd w:w="0" w:type="dxa"/>
        <w:tblCellMar>
          <w:top w:w="0" w:type="dxa"/>
          <w:left w:w="0" w:type="dxa"/>
          <w:bottom w:w="0" w:type="dxa"/>
          <w:right w:w="0" w:type="dxa"/>
        </w:tblCellMar>
      </w:tblPr>
      <w:tr>
        <w:trPr>
          <w:trHeight w:val="133"/>
        </w:trPr>
        <w:tc>
          <w:tcPr>
            <w:tcW w:w="5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6"/>
          </w:tcPr>
          <w:p>
            <w:pPr>
              <w:jc w:val="right"/>
              <w:ind w:right="740"/>
              <w:spacing w:after="0" w:line="133"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5"/>
          </w:tcPr>
          <w:p>
            <w:pPr>
              <w:ind w:left="360"/>
              <w:spacing w:after="0" w:line="133" w:lineRule="exact"/>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73"/>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stock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(2,746)</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(3,251)</w:t>
            </w: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20" w:type="dxa"/>
            <w:vAlign w:val="bottom"/>
          </w:tcPr>
          <w:p>
            <w:pPr>
              <w:spacing w:after="0"/>
              <w:rPr>
                <w:sz w:val="18"/>
                <w:szCs w:val="18"/>
                <w:color w:val="auto"/>
              </w:rPr>
            </w:pPr>
          </w:p>
        </w:tc>
      </w:tr>
      <w:tr>
        <w:trPr>
          <w:trHeight w:val="209"/>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119,506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127,276</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Acquisition and integration-related costs</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Amortization of acquisition-related inventory step-up costs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settlement accrual costs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 in fair value of convertible note investment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56,161</w:t>
            </w:r>
          </w:p>
        </w:tc>
        <w:tc>
          <w:tcPr>
            <w:tcW w:w="1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147,973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179,938</w:t>
            </w:r>
          </w:p>
        </w:tc>
        <w:tc>
          <w:tcPr>
            <w:tcW w:w="120" w:type="dxa"/>
            <w:vAlign w:val="bottom"/>
            <w:shd w:val="clear" w:color="auto" w:fill="CFF0FC"/>
          </w:tcPr>
          <w:p>
            <w:pPr>
              <w:spacing w:after="0"/>
              <w:rPr>
                <w:sz w:val="21"/>
                <w:szCs w:val="21"/>
                <w:color w:val="auto"/>
              </w:rPr>
            </w:pPr>
          </w:p>
        </w:tc>
      </w:tr>
      <w:tr>
        <w:trPr>
          <w:trHeight w:val="197"/>
        </w:trPr>
        <w:tc>
          <w:tcPr>
            <w:tcW w:w="58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26,330</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46,804</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115,987</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(5,297)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(22,626)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(45,492)</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(34,732)</w:t>
            </w:r>
          </w:p>
        </w:tc>
      </w:tr>
      <w:tr>
        <w:trPr>
          <w:trHeight w:val="198"/>
        </w:trPr>
        <w:tc>
          <w:tcPr>
            <w:tcW w:w="5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Proceeds from FCC Reimbursement Program for property, equipment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Pr>
          <w:p>
            <w:pPr>
              <w:spacing w:after="0"/>
              <w:rPr>
                <w:sz w:val="20"/>
                <w:szCs w:val="20"/>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interest rate caps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30,552</w:t>
            </w:r>
          </w:p>
        </w:tc>
        <w:tc>
          <w:tcPr>
            <w:tcW w:w="1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94,126</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-1156970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-1139190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-1156970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-1139190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-1156970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-1139190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right="180" w:firstLine="8"/>
        <w:spacing w:after="0" w:line="258" w:lineRule="auto"/>
        <w:tabs>
          <w:tab w:leader="none" w:pos="185" w:val="left"/>
        </w:tabs>
        <w:numPr>
          <w:ilvl w:val="0"/>
          <w:numId w:val="1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color w:val="auto"/>
        </w:rPr>
        <w:t>For the three-month period ended September 30, 2026, the figure consists of severance and other compensation-related costs of $1.6 million and integration support costs of $0.5 million. For the nine-month period ended September 30, 2026, the figure consists of severance and other compensation-related costs of $4.1 million and integration support costs of $1.7 million. For the three-month period ended September 30, 2025, the figure consists of integration support costs of $0.7 million and severance and other compensation-related costs of $2.2 million. For the nine-month period ended September 30, 2025, the figure consists of integration support costs of $6.1 million and severance and other compensation-related costs of $6.9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limitations of Non-GAAP measures</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tool, and you should not consider them in isolation or as a substitute for, or more meaningful than, amounts determined in accordance with GAAP.</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change in the fair value of the Earnout Liability from the Satcom Direct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acquisition and integration-related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amortization of acquisition-related inventory step-up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change in fair value of convertible note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industries related to ours may calculate these measures differently from the way we do, their usefulness as comparative measures may be limited.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7820"/>
        <w:spacing w:after="0"/>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1420" w:type="dxa"/>
        <w:tblCellMar>
          <w:top w:w="0" w:type="dxa"/>
          <w:left w:w="0" w:type="dxa"/>
          <w:bottom w:w="0" w:type="dxa"/>
          <w:right w:w="0" w:type="dxa"/>
        </w:tblCellMar>
      </w:tblPr>
      <w:tr>
        <w:trPr>
          <w:trHeight w:val="142"/>
        </w:trPr>
        <w:tc>
          <w:tcPr>
            <w:tcW w:w="57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115,987</w:t>
            </w:r>
          </w:p>
        </w:tc>
        <w:tc>
          <w:tcPr>
            <w:tcW w:w="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(20,757)</w:t>
            </w: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(23,473)</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(65,154)</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(34,520)</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91,734</w:t>
            </w:r>
          </w:p>
        </w:tc>
        <w:tc>
          <w:tcPr>
            <w:tcW w:w="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80" w:type="dxa"/>
            <w:vAlign w:val="bottom"/>
          </w:tcPr>
          <w:p>
            <w:pPr>
              <w:spacing w:after="0"/>
              <w:rPr>
                <w:sz w:val="18"/>
                <w:szCs w:val="18"/>
                <w:color w:val="auto"/>
              </w:rPr>
            </w:pPr>
          </w:p>
        </w:tc>
      </w:tr>
      <w:tr>
        <w:trPr>
          <w:trHeight w:val="250"/>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91,170</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7"/>
        </w:trPr>
        <w:tc>
          <w:tcPr>
            <w:tcW w:w="5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91,170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134,038</w:t>
            </w:r>
          </w:p>
        </w:tc>
        <w:tc>
          <w:tcPr>
            <w:tcW w:w="80" w:type="dxa"/>
            <w:vAlign w:val="bottom"/>
            <w:shd w:val="clear" w:color="auto" w:fill="CFF0FC"/>
          </w:tcPr>
          <w:p>
            <w:pPr>
              <w:spacing w:after="0"/>
              <w:rPr>
                <w:sz w:val="18"/>
                <w:szCs w:val="18"/>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current restricted cash</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90,694</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133,572</w:t>
            </w:r>
          </w:p>
        </w:tc>
        <w:tc>
          <w:tcPr>
            <w:tcW w:w="8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-745490</wp:posOffset>
            </wp:positionV>
            <wp:extent cx="514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-728345</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-745490</wp:posOffset>
            </wp:positionV>
            <wp:extent cx="51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-728345</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the Revolving Facility and capital markets will be sufficient to meet the cash requirements of our business, capital expenditure requirements and debt maturities for at least the next twelve months and thereafter for the foreseeable future.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of 1934, as amended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nine-month periods ended September 30, 2026 and 2025. As of September 30, 2026, approximately $12.1 million remains available under the share repurchase program.</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detailed in Note 8, “Long-Term Debt and Other Liabilities,” to our Unaudited Condensed Consolidated Financial Statements, on April 30,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GIH entered into the 2021 Credit Agreement (as amended on December 3, 2024 and November 6, 2026) with Gogo, the lenders and issuing banks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and Morgan Stanley Senior Funding, Inc., as administrative agent, which provides for the 2021 Term Loan Facility in an aggregate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$725.0 million, issued with a discount of 0.5%, and the Revolving Facility, which includes a letter of credit sub-facility. The 2021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matures on December 3, 2029 (subject to such maturity date springing to the date that is 90 days prior to the then-current maturity date of (a)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Term Loan Facility under the 2021 Credit Agreement and (b) the HPS Term Loan Facility under the HPS Credit Agreement under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As of the Closing Date, the 2021 Term Loan Facility consists of two tranches: the Initial Term Loans in an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$33.4 million, which mature on April 30, 2028; and the 2026 Extended Term Loans, in an aggregate principal amount of $544.4 million, which mature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2030.</w:t>
      </w:r>
    </w:p>
    <w:p>
      <w:pPr>
        <w:spacing w:after="0" w:line="9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Initial Term Loans amortized in quarterly installments equal to 1% of the aggregate initial principal amount thereof per annum, with the remaining balance payable upon final maturity of the Initial Term Loans. There are no amortization payments under the Revolving Facility. On May 3, 2023, the Company prepaid $100 million of the outstanding principal amount of the Initial Term Loans. This prepayment satisfied the required amortization payments for the remaining term of the Initial Term Loans. The 2026 Extended Term Loans amortize in quarterly installments commencing on March 31, 2027 equal to 0.75% of their initial aggregate principal amount through and including March 31, 2028, 1.125% thereafter through and including March 31, 2029 and 1.25% thereafter, subject to reduction for applicable prepayments, with the remaining balance payable at maturity. The third amendment includes a mechanic for holders of the Initial Term Loan Facility to convert their Initial Term Loans into 2026 Extended Term Loans within a period of time after the Closing Date, with such conversion to be effective as of the Closing Date. GIH is required to prepay $25.0 million of the 2026 Extended Term Loans on the Closing Date (with any additional holders of Initial Term Loans converting after the Closing Date to receive their pro rata share of such amount), $30.0 million of the 2026 Extended Term Loans on or prior to December 31, 2026 and an additional $20.0 million of 2026 Extended Term Loans on or prior to December 31, 2027, in each case subject to reduction for voluntary prepayments and repurchases. These additional mandatory prepayments apply only to the 2026 Extended Term Loans.</w:t>
      </w:r>
    </w:p>
    <w:p>
      <w:pPr>
        <w:spacing w:after="0" w:line="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also detailed in Note 8, “Long-Term Debt and Other Liabilities,” 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and together with the 2021 Facilities, the “Facilities”) in an aggregate principal amount of $250 million. The HPS Term Loan Facility, which is subject to mandatory prepayments under certain circumstances, amortizes in quarterly installments equal to one percent of the aggregate initial principal amount thereof per annum, with the remaining balance payable upon final maturity of the HPS Term Loan Facility on April 30, 2028. In accordance with the HPS Credit Agreement, the Company paid $21.1 million of the outstanding principal amount of the HPS Term Loan Facility in April 2026.</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Credit Agreements contain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Agreements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The aggregate notional amount of the interest rate caps as of September 30, 2026 is $200.0 million. The notional amounts of the interest rate caps periodically decrease over the life of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caps with the latest reduction of $100.0 million having occurred on July 31, 2025.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9, “Derivative Instruments and Hedging Activities,” to our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ind w:left="7620"/>
        <w:spacing w:after="0" w:line="231" w:lineRule="auto"/>
        <w:rPr>
          <w:sz w:val="20"/>
          <w:szCs w:val="20"/>
          <w:color w:val="auto"/>
        </w:rPr>
      </w:pPr>
      <w:r>
        <w:rPr>
          <w:rFonts w:ascii="Times New Roman" w:cs="Times New Roman" w:eastAsia="Times New Roman" w:hAnsi="Times New Roman"/>
          <w:sz w:val="14"/>
          <w:szCs w:val="14"/>
          <w:b w:val="1"/>
          <w:bCs w:val="1"/>
          <w:color w:val="auto"/>
        </w:rPr>
        <w:t>Ended September 30,</w:t>
      </w:r>
    </w:p>
    <w:tbl>
      <w:tblPr>
        <w:tblLayout w:type="fixed"/>
        <w:tblInd w:w="1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(48,971)</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(3,964)</w:t>
            </w:r>
          </w:p>
        </w:tc>
      </w:tr>
      <w:tr>
        <w:trPr>
          <w:trHeight w:val="209"/>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115,987</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For the nine-month period ended September 30, 2026, net cash provided by operating activities was $51.4 million as compared with cash provided by operating activities of $116.0 million in the prior-year period. The principal contributors to the year-over-year change in operating cash flows were:</w:t>
      </w:r>
    </w:p>
    <w:p>
      <w:pPr>
        <w:spacing w:after="0" w:line="54" w:lineRule="exact"/>
        <w:rPr>
          <w:sz w:val="20"/>
          <w:szCs w:val="20"/>
          <w:color w:val="auto"/>
        </w:rPr>
      </w:pPr>
    </w:p>
    <w:p>
      <w:pPr>
        <w:ind w:left="1020" w:right="4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$19.6 million decrease in net income and non-cash charges and credits, as noted above under “Results of Operations — Nine Months Ended September 30, 2026 and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$45.0 million decrease in cash flows related to operating assets and liabilities resulting from:</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decrease in cash flows due to the following:</w:t>
      </w:r>
    </w:p>
    <w:p>
      <w:pPr>
        <w:spacing w:after="0" w:line="117" w:lineRule="exact"/>
        <w:rPr>
          <w:rFonts w:ascii="Times New Roman" w:cs="Times New Roman" w:eastAsia="Times New Roman" w:hAnsi="Times New Roman"/>
          <w:sz w:val="18"/>
          <w:szCs w:val="18"/>
          <w:color w:val="auto"/>
        </w:rPr>
      </w:pPr>
    </w:p>
    <w:p>
      <w:pPr>
        <w:ind w:left="2520" w:hanging="371"/>
        <w:spacing w:after="0"/>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inventories due to increased equipment purchases; and</w:t>
      </w:r>
    </w:p>
    <w:p>
      <w:pPr>
        <w:spacing w:after="0" w:line="117" w:lineRule="exact"/>
        <w:rPr>
          <w:rFonts w:ascii="Times New Roman" w:cs="Times New Roman" w:eastAsia="Times New Roman" w:hAnsi="Times New Roman"/>
          <w:sz w:val="18"/>
          <w:szCs w:val="18"/>
          <w:color w:val="auto"/>
        </w:rPr>
      </w:pPr>
    </w:p>
    <w:p>
      <w:pPr>
        <w:ind w:left="2520" w:hanging="371"/>
        <w:spacing w:after="0"/>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liabilities due to the timing of payments related to personnel costs.</w:t>
      </w:r>
    </w:p>
    <w:p>
      <w:pPr>
        <w:spacing w:after="0" w:line="117" w:lineRule="exact"/>
        <w:rPr>
          <w:sz w:val="20"/>
          <w:szCs w:val="20"/>
          <w:color w:val="auto"/>
        </w:rPr>
      </w:pPr>
    </w:p>
    <w:p>
      <w:pPr>
        <w:ind w:left="1540" w:hanging="514"/>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increase in cash flows due to the following:</w:t>
      </w:r>
    </w:p>
    <w:p>
      <w:pPr>
        <w:spacing w:after="0" w:line="117" w:lineRule="exact"/>
        <w:rPr>
          <w:rFonts w:ascii="Times New Roman" w:cs="Times New Roman" w:eastAsia="Times New Roman" w:hAnsi="Times New Roman"/>
          <w:sz w:val="18"/>
          <w:szCs w:val="18"/>
          <w:color w:val="auto"/>
        </w:rPr>
      </w:pPr>
    </w:p>
    <w:p>
      <w:pPr>
        <w:ind w:left="2520" w:hanging="371"/>
        <w:spacing w:after="0"/>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changes in accounts payable and accrued liabilities due to the timing of payments related to inventory; and</w:t>
      </w:r>
    </w:p>
    <w:p>
      <w:pPr>
        <w:spacing w:after="0" w:line="117" w:lineRule="exact"/>
        <w:rPr>
          <w:rFonts w:ascii="Times New Roman" w:cs="Times New Roman" w:eastAsia="Times New Roman" w:hAnsi="Times New Roman"/>
          <w:sz w:val="18"/>
          <w:szCs w:val="18"/>
          <w:color w:val="auto"/>
        </w:rPr>
      </w:pPr>
    </w:p>
    <w:p>
      <w:pPr>
        <w:ind w:left="2520" w:hanging="371"/>
        <w:spacing w:after="0"/>
        <w:tabs>
          <w:tab w:leader="none" w:pos="2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prepaid expenses and other current assets related to the FCC Reimbursement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$20.8 million for the nine-month period ended September 30, 2026, due to the $45.5 million of capital expenditures noted below, partially offset by $21.4 million of proceeds received from the FCC Reimbursement Program related to the reimbursement of capital expenditures and $3.3 million of proceeds received from interest rate caps.</w:t>
      </w:r>
    </w:p>
    <w:p>
      <w:pPr>
        <w:spacing w:after="0" w:line="68"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$23.5 million for the nine-month period ended September 30, 2025, due to $34.7 million of capital expenditures noted below and a $1.6 million payment for working capital adjustments relating to the purchase of Satcom Direct, partially offset by $9.1 million of proceeds received from interest rate caps and $3.8 million of proceeds received from the FCC Reimbursement Program associated with the reimbursement of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nine-month period ended September 30, 2026 was $65.2 million, due to the $40.0 million payment related to the 2025 financial performance milestones of the Earnout Liability, $23.0 million of principal payments on the HPS Term Loan Facility and $2.2 million of stock-based compensation activities.</w:t>
      </w:r>
    </w:p>
    <w:p>
      <w:pPr>
        <w:spacing w:after="0" w:line="6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nine-month period ended September 30, 2025 was $1.1 million, due to principal payments on the HPS Term Loan Facility, partially offset by proceeds from stock-based compensation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the expansion of our ATG network and data centers. We capitalize software development costs related to network technology solutions and new product/service offerings. We also capitalize costs related to the build-out of our office locations.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Capital expenditures increased to $45.5 million for the nine-month period ended September 30, 2026, as compared with $34.7 million for the prior-year period due to the build out of the LTE network.</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capital expenditures will decrease in the future as the build out of the LTE network nears completion.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w:t>
      </w:r>
      <w:r>
        <w:rPr>
          <w:rFonts w:ascii="Times New Roman" w:cs="Times New Roman" w:eastAsia="Times New Roman" w:hAnsi="Times New Roman"/>
          <w:sz w:val="18"/>
          <w:szCs w:val="18"/>
          <w:color w:val="auto"/>
        </w:rPr>
        <w:t>We have agreements with various vendors under which we have remaining commitments to purchase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 See Note 15, “Commitments and Contingencies,” to our Unaudited Condensed Consolidated Financial Statements for additional information.</w:t>
      </w:r>
    </w:p>
    <w:p>
      <w:pPr>
        <w:spacing w:after="0" w:line="65"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14, “Leases,” to our Unaudited Condensed Consolidated Financial Statements for additional information.</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7"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September 30, 2026 and December 31, 2025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spacing w:after="0" w:line="81"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6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each of the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(if any) and the HPS Term Loan Facility. We assess our market risks based on changes in interest rates utilizing a sensitivity analysis that measures the potential impact on earnings and cash flows based on a hypothetical one percentage point change in interest rates. As of September 30, 2026,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September 30, 2026 was $200.0 million. Based on our September 30, 2026 outstanding variable rate debt balance, a hypothetical one percentage point change in the applicable interest rate would impact our annual interest expense by approximately $6.6 million for the next twelve-month period. Excluding the impact of our interest rate caps, a hypothetical one percentage point change in the applicable interest rate would impact our annual interest expense by approximately $8.3 million for the next twelve-month period.</w:t>
      </w:r>
    </w:p>
    <w:p>
      <w:pPr>
        <w:spacing w:after="0" w:line="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nine-month periods ended September 30, 2026 and 2025 by immaterial amounts.</w:t>
      </w:r>
    </w:p>
    <w:p>
      <w:pPr>
        <w:spacing w:after="0" w:line="66"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will not be affected by inflation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Company’s disclosure controls and procedures, as defined in Rules 13a-15(e) and 15d-15(e) under the Exchange Act, as of September 30, 2026. Based upon this evaluation, our Chief Executive Officer and the Chief Financial Officer have concluded that our disclosure controls and procedures were not effective as of September 30, 2026 due to a material weakness in internal control over financial reporting which, as previously disclosed in Part II, Item 9A “Controls and Procedures” in the 2025 10-K, existed as of December 31, 2025 and, as discussed below, continued to exist as of September 30, 2026.</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Notwithstanding the ineffective disclosure controls and procedures due to the material weakness in internal control over financial reporting, our Chief Executive Officer and the Chief Financial Officer have concluded that the consolidated financial statements in this Quarterly Report on Form 10-Q present fairly, in all material respects, our financial position, results of operations and cash flows in conformity with accounting principles generally accepted in the United States of America.</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material weakness disclosed in the 2025 10-K remains unremediated as of September 30, 2026:</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2" w:name="page43"/>
    <w:bookmarkEnd w:id="42"/>
    <w:p>
      <w:pPr>
        <w:ind w:left="520" w:right="1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insufficient effective controls in place at Satcom Direct to ensure the completeness and accuracy of Satcom Direct’s financial reporting information that is consolidated into Gogo’s financial statements, due to the following deficiencies at Satcom Direct:</w:t>
      </w:r>
    </w:p>
    <w:p>
      <w:pPr>
        <w:spacing w:after="0" w:line="54" w:lineRule="exact"/>
        <w:rPr>
          <w:sz w:val="20"/>
          <w:szCs w:val="20"/>
          <w:color w:val="auto"/>
        </w:rPr>
      </w:pPr>
    </w:p>
    <w:p>
      <w:pPr>
        <w:ind w:left="1260" w:right="160" w:hanging="503"/>
        <w:spacing w:after="0" w:line="255"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IT program and data changes affecting financial IT applications and underlying accounting records are identified, tested, authorized and implemented appropriately with appropriate segregation of duties.</w:t>
      </w:r>
    </w:p>
    <w:p>
      <w:pPr>
        <w:spacing w:after="0" w:line="80" w:lineRule="exact"/>
        <w:rPr>
          <w:rFonts w:ascii="Times New Roman" w:cs="Times New Roman" w:eastAsia="Times New Roman" w:hAnsi="Times New Roman"/>
          <w:sz w:val="18"/>
          <w:szCs w:val="18"/>
          <w:color w:val="auto"/>
        </w:rPr>
      </w:pPr>
    </w:p>
    <w:p>
      <w:pPr>
        <w:ind w:left="1260" w:right="320" w:hanging="503"/>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Satcom Direct’s management did not design and implement control activities necessary to provide reasonable assurance regarding the reliability of financial reporting and the preparation of financial statements.</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 in Internal Control over Financial Reporting</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reported, with the oversight of the Audit Committee of our Board of Directors, we began implementing in 2025, and continued implementing throughout 2026, including in the third quarter of 2026, a remediation plan to address the material weakness described above. Action items include the following:</w:t>
      </w:r>
    </w:p>
    <w:p>
      <w:pPr>
        <w:spacing w:after="0" w:line="68" w:lineRule="exact"/>
        <w:rPr>
          <w:sz w:val="20"/>
          <w:szCs w:val="20"/>
          <w:color w:val="auto"/>
        </w:rPr>
      </w:pPr>
    </w:p>
    <w:p>
      <w:pPr>
        <w:ind w:left="520" w:right="5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finance and accounting team, including hiring additional individuals with the requisite public company financial reporting, accounting, and internal control knowledge and experience.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designed and implemented effective GITCs related to user access and change management over relevant Satcom Direct’s IT systems.</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While we believe that our efforts have improved our internal control over financial reporting, remediation of the material weakness as of September 30, 2026 is expected to require further strengthening of our internal control environment and substantial effort throughout 2026, including:</w:t>
      </w:r>
    </w:p>
    <w:p>
      <w:pPr>
        <w:spacing w:after="0" w:line="5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design and implement internal control over financial reporting for processes specific to Satcom Direct.</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Migrating from or enhancing certain legacy Satcom Direct IT systems to allow for the ability to obtain sufficiently reliable information and facilitate the effective design, implementation and operating effectiveness of relevant internal control over financial reporting.</w:t>
      </w:r>
    </w:p>
    <w:p>
      <w:pPr>
        <w:spacing w:after="0" w:line="53" w:lineRule="exact"/>
        <w:rPr>
          <w:rFonts w:ascii="Times New Roman" w:cs="Times New Roman" w:eastAsia="Times New Roman" w:hAnsi="Times New Roman"/>
          <w:sz w:val="18"/>
          <w:szCs w:val="18"/>
          <w:color w:val="auto"/>
        </w:rPr>
      </w:pPr>
    </w:p>
    <w:p>
      <w:pPr>
        <w:ind w:left="520" w:right="520" w:hanging="512"/>
        <w:spacing w:after="0" w:line="282"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Migrating from or enhancing certain legacy Satcom Direct IT systems to improve functionality and sufficiently enforce segregation of duties, including segregation of duties related to the posting and review of manual journal entries.</w:t>
      </w:r>
    </w:p>
    <w:p>
      <w:pPr>
        <w:spacing w:after="0" w:line="54"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We will test the effectiveness of the new and existing controls in future periods. The material weakness cannot be considered completely remediated until the applicable controls have been implemented and management has concluded, through testing, that these controls are operating effectively.</w:t>
      </w:r>
    </w:p>
    <w:p>
      <w:pPr>
        <w:spacing w:after="0" w:line="2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Except as described above, 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See Note 15, “Commitments and Contingencies,” to our Unaudited Condensed Consolidated Financial Statements for a discussion of litigation matters.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0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“Item 1A. Risk Factors” of our 2025 10-K includes a discussion of our risk factors. There have been no material changes to the risk factors previously disclosed in our 2025 10-K.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Proceeds from Public Offering of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Material Changes to Stockholder Nomination Procedures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Rule 10b5-1 Plans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2026, none of our directors or officers adopted or terminated a “Rule 10b5-1 trading arrangement” or “non-Rule 10b5-1 trading arrangement” as such terms are defined in Item 408 of Regulation S-K.</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0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000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18"/>
                <w:szCs w:val="18"/>
                <w:color w:val="auto"/>
              </w:rPr>
            </w:pPr>
          </w:p>
        </w:tc>
        <w:tc>
          <w:tcPr>
            <w:tcW w:w="754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Employment Contract, dated September 1, 2026, between Gogo Denmark ApS and Michael Christensen</w:t>
            </w:r>
          </w:p>
        </w:tc>
        <w:tc>
          <w:tcPr>
            <w:tcW w:w="24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Retention Bonus Agreement, dated November 13, 2024, between Gogo Inc. and Michael Christensen</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17"/>
                <w:szCs w:val="17"/>
                <w:color w:val="auto"/>
              </w:rPr>
            </w:pPr>
          </w:p>
        </w:tc>
        <w:tc>
          <w:tcPr>
            <w:tcW w:w="9800" w:type="dxa"/>
            <w:vAlign w:val="bottom"/>
            <w:tcBorders>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rPr>
              <w:t>Addendum to Retention Bonus Agreement, dated September 1, 2026, among Gogo Business Aviation LLC, Gogo Inc., Gogo Denmark</w:t>
            </w: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ApS and Michael Christensen</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17"/>
                <w:szCs w:val="17"/>
                <w:color w:val="auto"/>
              </w:rPr>
            </w:pPr>
          </w:p>
        </w:tc>
        <w:tc>
          <w:tcPr>
            <w:tcW w:w="814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Change in Control Severance Agreement, dated September 1, 2026, between Gogo Inc. and Michael Christensen</w:t>
            </w:r>
          </w:p>
        </w:tc>
        <w:tc>
          <w:tcPr>
            <w:tcW w:w="20" w:type="dxa"/>
            <w:vAlign w:val="bottom"/>
            <w:tcBorders>
              <w:bottom w:val="single" w:sz="8" w:color="0000EE"/>
            </w:tcBorders>
          </w:tcPr>
          <w:p>
            <w:pPr>
              <w:spacing w:after="0"/>
              <w:rPr>
                <w:sz w:val="17"/>
                <w:szCs w:val="17"/>
                <w:color w:val="auto"/>
              </w:rPr>
            </w:pPr>
          </w:p>
        </w:tc>
        <w:tc>
          <w:tcPr>
            <w:tcW w:w="18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990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94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18"/>
                <w:szCs w:val="18"/>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 w:type="dxa"/>
            <w:vAlign w:val="bottom"/>
          </w:tcPr>
          <w:p>
            <w:pPr>
              <w:spacing w:after="0"/>
              <w:rPr>
                <w:sz w:val="20"/>
                <w:szCs w:val="20"/>
                <w:color w:val="auto"/>
              </w:rPr>
            </w:pPr>
          </w:p>
        </w:tc>
        <w:tc>
          <w:tcPr>
            <w:tcW w:w="10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260" w:hanging="820"/>
        <w:spacing w:after="0"/>
        <w:tabs>
          <w:tab w:leader="none" w:pos="1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52"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17" w:lineRule="exact"/>
        <w:rPr>
          <w:sz w:val="20"/>
          <w:szCs w:val="20"/>
          <w:color w:val="auto"/>
        </w:rPr>
      </w:pPr>
    </w:p>
    <w:p>
      <w:pPr>
        <w:ind w:right="220" w:firstLine="8"/>
        <w:spacing w:after="0" w:line="266" w:lineRule="auto"/>
        <w:tabs>
          <w:tab w:leader="none" w:pos="2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Registrant under the Securities Act of 1933, as amended, or the Exchange Act (whether made before or after the date of the Form 10-Q), irrespective of any general incorporation language contained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Gogo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Zachary Cotner</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highlight w:val="black"/>
        </w:rPr>
        <w:t>EMPLOYMENT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Between Gogo Denmark ApS</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Sundkrogsgade 21</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2100 Copenhagen</w:t>
      </w:r>
    </w:p>
    <w:p>
      <w:pPr>
        <w:sectPr>
          <w:pgSz w:w="11900" w:h="16838" w:orient="portrait"/>
          <w:cols w:equalWidth="0" w:num="1">
            <w:col w:w="11240"/>
          </w:cols>
          <w:pgMar w:left="320" w:top="286"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Michael Christensen</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3693795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80" w:space="440"/>
            <w:col w:w="10520"/>
          </w:cols>
          <w:pgMar w:left="320" w:top="286" w:right="339" w:bottom="1440" w:gutter="0" w:footer="0" w:header="0"/>
          <w:type w:val="continuous"/>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00" w:type="dxa"/>
            <w:vAlign w:val="bottom"/>
            <w:gridSpan w:val="2"/>
          </w:tcPr>
          <w:p>
            <w:pPr>
              <w:spacing w:after="0"/>
              <w:rPr>
                <w:sz w:val="20"/>
                <w:szCs w:val="20"/>
                <w:color w:val="auto"/>
              </w:rPr>
            </w:pPr>
            <w:r>
              <w:rPr>
                <w:rFonts w:ascii="Arial" w:cs="Arial" w:eastAsia="Arial" w:hAnsi="Arial"/>
                <w:sz w:val="17"/>
                <w:szCs w:val="17"/>
                <w:color w:val="auto"/>
              </w:rPr>
              <w:t>TABLE OF CONTENTS</w:t>
            </w:r>
          </w:p>
        </w:tc>
        <w:tc>
          <w:tcPr>
            <w:tcW w:w="2340" w:type="dxa"/>
            <w:vAlign w:val="bottom"/>
          </w:tcPr>
          <w:p>
            <w:pPr>
              <w:spacing w:after="0"/>
              <w:rPr>
                <w:sz w:val="16"/>
                <w:szCs w:val="16"/>
                <w:color w:val="auto"/>
              </w:rPr>
            </w:pPr>
          </w:p>
        </w:tc>
      </w:tr>
      <w:tr>
        <w:trPr>
          <w:trHeight w:val="364"/>
        </w:trPr>
        <w:tc>
          <w:tcPr>
            <w:tcW w:w="600" w:type="dxa"/>
            <w:vAlign w:val="bottom"/>
          </w:tcPr>
          <w:p>
            <w:pPr>
              <w:spacing w:after="0"/>
              <w:rPr>
                <w:sz w:val="20"/>
                <w:szCs w:val="20"/>
                <w:color w:val="auto"/>
              </w:rPr>
            </w:pPr>
            <w:r>
              <w:rPr>
                <w:rFonts w:ascii="Arial" w:cs="Arial" w:eastAsia="Arial" w:hAnsi="Arial"/>
                <w:sz w:val="17"/>
                <w:szCs w:val="17"/>
                <w:color w:val="0000FF"/>
              </w:rPr>
              <w:t>1.</w:t>
            </w:r>
          </w:p>
        </w:tc>
        <w:tc>
          <w:tcPr>
            <w:tcW w:w="8300" w:type="dxa"/>
            <w:vAlign w:val="bottom"/>
          </w:tcPr>
          <w:p>
            <w:pPr>
              <w:ind w:left="440"/>
              <w:spacing w:after="0"/>
              <w:rPr>
                <w:sz w:val="20"/>
                <w:szCs w:val="20"/>
                <w:color w:val="auto"/>
              </w:rPr>
            </w:pPr>
            <w:r>
              <w:rPr>
                <w:rFonts w:ascii="Arial" w:cs="Arial" w:eastAsia="Arial" w:hAnsi="Arial"/>
                <w:sz w:val="17"/>
                <w:szCs w:val="17"/>
                <w:color w:val="0000FF"/>
              </w:rPr>
              <w:t>THE POSITION</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65"/>
        </w:trPr>
        <w:tc>
          <w:tcPr>
            <w:tcW w:w="600" w:type="dxa"/>
            <w:vAlign w:val="bottom"/>
          </w:tcPr>
          <w:p>
            <w:pPr>
              <w:spacing w:after="0"/>
              <w:rPr>
                <w:sz w:val="20"/>
                <w:szCs w:val="20"/>
                <w:color w:val="auto"/>
              </w:rPr>
            </w:pPr>
            <w:r>
              <w:rPr>
                <w:rFonts w:ascii="Arial" w:cs="Arial" w:eastAsia="Arial" w:hAnsi="Arial"/>
                <w:sz w:val="17"/>
                <w:szCs w:val="17"/>
                <w:color w:val="0000FF"/>
              </w:rPr>
              <w:t>2.</w:t>
            </w:r>
          </w:p>
        </w:tc>
        <w:tc>
          <w:tcPr>
            <w:tcW w:w="8300" w:type="dxa"/>
            <w:vAlign w:val="bottom"/>
          </w:tcPr>
          <w:p>
            <w:pPr>
              <w:ind w:left="440"/>
              <w:spacing w:after="0"/>
              <w:rPr>
                <w:sz w:val="20"/>
                <w:szCs w:val="20"/>
                <w:color w:val="auto"/>
              </w:rPr>
            </w:pPr>
            <w:r>
              <w:rPr>
                <w:rFonts w:ascii="Arial" w:cs="Arial" w:eastAsia="Arial" w:hAnsi="Arial"/>
                <w:sz w:val="17"/>
                <w:szCs w:val="17"/>
                <w:color w:val="0000FF"/>
              </w:rPr>
              <w:t>RIGHTS AND OBLIGATIONS OF THE EXECUTIVE</w:t>
            </w:r>
          </w:p>
        </w:tc>
        <w:tc>
          <w:tcPr>
            <w:tcW w:w="2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64"/>
        </w:trPr>
        <w:tc>
          <w:tcPr>
            <w:tcW w:w="600" w:type="dxa"/>
            <w:vAlign w:val="bottom"/>
          </w:tcPr>
          <w:p>
            <w:pPr>
              <w:spacing w:after="0"/>
              <w:rPr>
                <w:sz w:val="20"/>
                <w:szCs w:val="20"/>
                <w:color w:val="auto"/>
              </w:rPr>
            </w:pPr>
            <w:r>
              <w:rPr>
                <w:rFonts w:ascii="Arial" w:cs="Arial" w:eastAsia="Arial" w:hAnsi="Arial"/>
                <w:sz w:val="17"/>
                <w:szCs w:val="17"/>
                <w:color w:val="0000FF"/>
              </w:rPr>
              <w:t>3.</w:t>
            </w:r>
          </w:p>
        </w:tc>
        <w:tc>
          <w:tcPr>
            <w:tcW w:w="8300" w:type="dxa"/>
            <w:vAlign w:val="bottom"/>
          </w:tcPr>
          <w:p>
            <w:pPr>
              <w:ind w:left="440"/>
              <w:spacing w:after="0"/>
              <w:rPr>
                <w:sz w:val="20"/>
                <w:szCs w:val="20"/>
                <w:color w:val="auto"/>
              </w:rPr>
            </w:pPr>
            <w:r>
              <w:rPr>
                <w:rFonts w:ascii="Arial" w:cs="Arial" w:eastAsia="Arial" w:hAnsi="Arial"/>
                <w:sz w:val="17"/>
                <w:szCs w:val="17"/>
                <w:color w:val="0000FF"/>
              </w:rPr>
              <w:t>THE EXECUTIVE'S FINANCIAL RIGHTS DURING THE EMPLOYMENT</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64"/>
        </w:trPr>
        <w:tc>
          <w:tcPr>
            <w:tcW w:w="600" w:type="dxa"/>
            <w:vAlign w:val="bottom"/>
          </w:tcPr>
          <w:p>
            <w:pPr>
              <w:spacing w:after="0"/>
              <w:rPr>
                <w:sz w:val="20"/>
                <w:szCs w:val="20"/>
                <w:color w:val="auto"/>
              </w:rPr>
            </w:pPr>
            <w:r>
              <w:rPr>
                <w:rFonts w:ascii="Arial" w:cs="Arial" w:eastAsia="Arial" w:hAnsi="Arial"/>
                <w:sz w:val="17"/>
                <w:szCs w:val="17"/>
                <w:color w:val="0000FF"/>
              </w:rPr>
              <w:t>4.</w:t>
            </w:r>
          </w:p>
        </w:tc>
        <w:tc>
          <w:tcPr>
            <w:tcW w:w="8300" w:type="dxa"/>
            <w:vAlign w:val="bottom"/>
          </w:tcPr>
          <w:p>
            <w:pPr>
              <w:ind w:left="440"/>
              <w:spacing w:after="0"/>
              <w:rPr>
                <w:sz w:val="20"/>
                <w:szCs w:val="20"/>
                <w:color w:val="auto"/>
              </w:rPr>
            </w:pPr>
            <w:r>
              <w:rPr>
                <w:rFonts w:ascii="Arial" w:cs="Arial" w:eastAsia="Arial" w:hAnsi="Arial"/>
                <w:sz w:val="17"/>
                <w:szCs w:val="17"/>
                <w:color w:val="0000FF"/>
              </w:rPr>
              <w:t>HOLIDAY AND OTHER ABSENCE</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65"/>
        </w:trPr>
        <w:tc>
          <w:tcPr>
            <w:tcW w:w="600" w:type="dxa"/>
            <w:vAlign w:val="bottom"/>
          </w:tcPr>
          <w:p>
            <w:pPr>
              <w:spacing w:after="0"/>
              <w:rPr>
                <w:sz w:val="20"/>
                <w:szCs w:val="20"/>
                <w:color w:val="auto"/>
              </w:rPr>
            </w:pPr>
            <w:r>
              <w:rPr>
                <w:rFonts w:ascii="Arial" w:cs="Arial" w:eastAsia="Arial" w:hAnsi="Arial"/>
                <w:sz w:val="17"/>
                <w:szCs w:val="17"/>
                <w:color w:val="0000FF"/>
              </w:rPr>
              <w:t>5.</w:t>
            </w:r>
          </w:p>
        </w:tc>
        <w:tc>
          <w:tcPr>
            <w:tcW w:w="8300" w:type="dxa"/>
            <w:vAlign w:val="bottom"/>
          </w:tcPr>
          <w:p>
            <w:pPr>
              <w:ind w:left="440"/>
              <w:spacing w:after="0"/>
              <w:rPr>
                <w:sz w:val="20"/>
                <w:szCs w:val="20"/>
                <w:color w:val="auto"/>
              </w:rPr>
            </w:pPr>
            <w:r>
              <w:rPr>
                <w:rFonts w:ascii="Arial" w:cs="Arial" w:eastAsia="Arial" w:hAnsi="Arial"/>
                <w:sz w:val="17"/>
                <w:szCs w:val="17"/>
                <w:color w:val="0000FF"/>
              </w:rPr>
              <w:t>TERMINATION OF EMPLOYMENT</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64"/>
        </w:trPr>
        <w:tc>
          <w:tcPr>
            <w:tcW w:w="600" w:type="dxa"/>
            <w:vAlign w:val="bottom"/>
          </w:tcPr>
          <w:p>
            <w:pPr>
              <w:spacing w:after="0"/>
              <w:rPr>
                <w:sz w:val="20"/>
                <w:szCs w:val="20"/>
                <w:color w:val="auto"/>
              </w:rPr>
            </w:pPr>
            <w:r>
              <w:rPr>
                <w:rFonts w:ascii="Arial" w:cs="Arial" w:eastAsia="Arial" w:hAnsi="Arial"/>
                <w:sz w:val="17"/>
                <w:szCs w:val="17"/>
                <w:color w:val="0000FF"/>
              </w:rPr>
              <w:t>6.</w:t>
            </w:r>
          </w:p>
        </w:tc>
        <w:tc>
          <w:tcPr>
            <w:tcW w:w="8300" w:type="dxa"/>
            <w:vAlign w:val="bottom"/>
          </w:tcPr>
          <w:p>
            <w:pPr>
              <w:ind w:left="440"/>
              <w:spacing w:after="0"/>
              <w:rPr>
                <w:sz w:val="20"/>
                <w:szCs w:val="20"/>
                <w:color w:val="auto"/>
              </w:rPr>
            </w:pPr>
            <w:r>
              <w:rPr>
                <w:rFonts w:ascii="Arial" w:cs="Arial" w:eastAsia="Arial" w:hAnsi="Arial"/>
                <w:sz w:val="17"/>
                <w:szCs w:val="17"/>
                <w:color w:val="0000FF"/>
              </w:rPr>
              <w:t>THE EXECUTIVE'S OBLIGATIONS AFTER TERMINATION OF EMPLOYMENT</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This Employment Contract (the "Contract") is entered into on September 1, 2026 between:</w:t>
      </w:r>
    </w:p>
    <w:p>
      <w:pPr>
        <w:spacing w:after="0" w:line="169" w:lineRule="exact"/>
        <w:rPr>
          <w:sz w:val="20"/>
          <w:szCs w:val="20"/>
          <w:color w:val="auto"/>
        </w:rPr>
      </w:pPr>
    </w:p>
    <w:p>
      <w:pPr>
        <w:ind w:left="360" w:hanging="352"/>
        <w:spacing w:after="0"/>
        <w:tabs>
          <w:tab w:leader="none" w:pos="3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Gogo Denmark, Company Reg. No. (CVR), 45175685, Sundkrogsgade 21, 2100 Copenhagen (the "Company")</w:t>
      </w:r>
    </w:p>
    <w:p>
      <w:pPr>
        <w:spacing w:after="0" w:line="155" w:lineRule="exact"/>
        <w:rPr>
          <w:rFonts w:ascii="Arial" w:cs="Arial" w:eastAsia="Arial" w:hAnsi="Arial"/>
          <w:sz w:val="17"/>
          <w:szCs w:val="17"/>
          <w:color w:val="auto"/>
        </w:rPr>
      </w:pPr>
    </w:p>
    <w:p>
      <w:pPr>
        <w:ind w:left="360" w:hanging="352"/>
        <w:spacing w:after="0"/>
        <w:tabs>
          <w:tab w:leader="none" w:pos="3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Michael Christensen, [***] (the "Executive")</w:t>
      </w:r>
    </w:p>
    <w:p>
      <w:pPr>
        <w:spacing w:after="0" w:line="169" w:lineRule="exact"/>
        <w:rPr>
          <w:rFonts w:ascii="Arial" w:cs="Arial" w:eastAsia="Arial" w:hAnsi="Arial"/>
          <w:sz w:val="17"/>
          <w:szCs w:val="17"/>
          <w:color w:val="auto"/>
        </w:rPr>
      </w:pPr>
    </w:p>
    <w:p>
      <w:pPr>
        <w:ind w:left="120" w:hanging="112"/>
        <w:spacing w:after="0"/>
        <w:tabs>
          <w:tab w:leader="none" w:pos="1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and the Executive hereinafter collectively referred to as the "Parties" and separately as a "Party"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199" w:lineRule="exact"/>
        <w:rPr>
          <w:sz w:val="20"/>
          <w:szCs w:val="20"/>
          <w:color w:val="auto"/>
        </w:rPr>
      </w:pPr>
    </w:p>
    <w:p>
      <w:pPr>
        <w:ind w:left="900" w:hanging="892"/>
        <w:spacing w:after="0" w:line="247" w:lineRule="auto"/>
        <w:tabs>
          <w:tab w:leader="none" w:pos="3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Executive is currently employed by Gogo Business Aviation LLC, 105 Edgeview Dr., Suite 300, Broomfield, CO 80021, USA, as Executive Vice President and Chief Revenue Officer of the Gogo Group pursuant to that Employment Agreement dated November 19, 2024, as amended from time to time (the “Prior Agreement”).</w:t>
      </w:r>
    </w:p>
    <w:p>
      <w:pPr>
        <w:spacing w:after="0" w:line="192" w:lineRule="exact"/>
        <w:rPr>
          <w:rFonts w:ascii="Arial" w:cs="Arial" w:eastAsia="Arial" w:hAnsi="Arial"/>
          <w:sz w:val="17"/>
          <w:szCs w:val="17"/>
          <w:color w:val="auto"/>
        </w:rPr>
      </w:pPr>
    </w:p>
    <w:p>
      <w:pPr>
        <w:ind w:left="900" w:hanging="892"/>
        <w:spacing w:after="0" w:line="247" w:lineRule="auto"/>
        <w:tabs>
          <w:tab w:leader="none" w:pos="3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 </w:t>
      </w:r>
      <w:r>
        <w:rPr>
          <w:rFonts w:ascii="Arial" w:cs="Arial" w:eastAsia="Arial" w:hAnsi="Arial"/>
          <w:sz w:val="17"/>
          <w:szCs w:val="17"/>
          <w:color w:val="auto"/>
          <w:highlight w:val="black"/>
        </w:rPr>
        <w:t>Gogo Group</w:t>
      </w:r>
      <w:r>
        <w:rPr>
          <w:rFonts w:ascii="Arial" w:cs="Arial" w:eastAsia="Arial" w:hAnsi="Arial"/>
          <w:sz w:val="17"/>
          <w:szCs w:val="17"/>
          <w:color w:val="auto"/>
        </w:rPr>
        <w:t>" means Gogo Inc., 105 Edgeview Dr., Suite 300, Broomfield, CO 80021, USA, with registration number 4764488, with registered office at c/o Corporation Service Company, 251 Little Falls Drive, Wilmington DE 19808 USA (the "</w:t>
      </w:r>
      <w:r>
        <w:rPr>
          <w:rFonts w:ascii="Arial" w:cs="Arial" w:eastAsia="Arial" w:hAnsi="Arial"/>
          <w:sz w:val="17"/>
          <w:szCs w:val="17"/>
          <w:color w:val="auto"/>
          <w:highlight w:val="black"/>
        </w:rPr>
        <w:t>Parent Company</w:t>
      </w:r>
      <w:r>
        <w:rPr>
          <w:rFonts w:ascii="Arial" w:cs="Arial" w:eastAsia="Arial" w:hAnsi="Arial"/>
          <w:sz w:val="17"/>
          <w:szCs w:val="17"/>
          <w:color w:val="auto"/>
        </w:rPr>
        <w:t>"), and each entity directly or indirectly controlled by the Parent Company from time to time.</w:t>
      </w:r>
    </w:p>
    <w:p>
      <w:pPr>
        <w:spacing w:after="0" w:line="149" w:lineRule="exact"/>
        <w:rPr>
          <w:rFonts w:ascii="Arial" w:cs="Arial" w:eastAsia="Arial" w:hAnsi="Arial"/>
          <w:sz w:val="17"/>
          <w:szCs w:val="17"/>
          <w:color w:val="auto"/>
        </w:rPr>
      </w:pPr>
    </w:p>
    <w:p>
      <w:pPr>
        <w:ind w:left="360" w:hanging="352"/>
        <w:spacing w:after="0"/>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is a member of the Gogo Group.</w:t>
      </w:r>
    </w:p>
    <w:p>
      <w:pPr>
        <w:spacing w:after="0" w:line="198" w:lineRule="exact"/>
        <w:rPr>
          <w:rFonts w:ascii="Arial" w:cs="Arial" w:eastAsia="Arial" w:hAnsi="Arial"/>
          <w:sz w:val="17"/>
          <w:szCs w:val="17"/>
          <w:color w:val="auto"/>
        </w:rPr>
      </w:pPr>
    </w:p>
    <w:p>
      <w:pPr>
        <w:ind w:left="900" w:right="20" w:hanging="892"/>
        <w:spacing w:after="0" w:line="234" w:lineRule="auto"/>
        <w:tabs>
          <w:tab w:leader="none" w:pos="3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 effect from the Effective Date (as defined below), the Executive shall be employed by the Company in Denmark on the terms of this Agreement.</w:t>
      </w:r>
    </w:p>
    <w:p>
      <w:pPr>
        <w:spacing w:after="0" w:line="199" w:lineRule="exact"/>
        <w:rPr>
          <w:rFonts w:ascii="Arial" w:cs="Arial" w:eastAsia="Arial" w:hAnsi="Arial"/>
          <w:sz w:val="17"/>
          <w:szCs w:val="17"/>
          <w:color w:val="auto"/>
        </w:rPr>
      </w:pPr>
    </w:p>
    <w:p>
      <w:pPr>
        <w:ind w:left="900" w:hanging="892"/>
        <w:spacing w:after="0" w:line="247" w:lineRule="auto"/>
        <w:tabs>
          <w:tab w:leader="none" w:pos="375"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Prior to the Effective Date, the Executive and Gogo Business Aviation shall enter into a mutual separation agreement confirming that the Executive’s employment with Gogo Business Aviation under the Prior Agreement shall terminate with effect on a date prior to the Effective Date (the "Separation Agreement").</w:t>
      </w:r>
    </w:p>
    <w:p>
      <w:pPr>
        <w:spacing w:after="0" w:line="149" w:lineRule="exact"/>
        <w:rPr>
          <w:rFonts w:ascii="Arial" w:cs="Arial" w:eastAsia="Arial" w:hAnsi="Arial"/>
          <w:sz w:val="17"/>
          <w:szCs w:val="17"/>
          <w:color w:val="auto"/>
        </w:rPr>
      </w:pPr>
    </w:p>
    <w:p>
      <w:pPr>
        <w:ind w:left="360" w:hanging="352"/>
        <w:spacing w:after="0"/>
        <w:tabs>
          <w:tab w:leader="none" w:pos="3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Parties wish to set out in this Agreement the terms and conditions applicable to the Executive’s employment with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THE PARTIES AGREE AS FOLLOW:</w:t>
      </w: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7"/>
          <w:szCs w:val="17"/>
          <w:color w:val="auto"/>
          <w:highlight w:val="black"/>
        </w:rPr>
      </w:pPr>
      <w:r>
        <w:rPr>
          <w:rFonts w:ascii="Arial" w:cs="Arial" w:eastAsia="Arial" w:hAnsi="Arial"/>
          <w:sz w:val="17"/>
          <w:szCs w:val="17"/>
          <w:color w:val="auto"/>
          <w:highlight w:val="black"/>
        </w:rPr>
        <w:t>THE POSITION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1.1  Commencement of Employment</w:t>
      </w:r>
    </w:p>
    <w:p>
      <w:pPr>
        <w:spacing w:after="0" w:line="199"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 xml:space="preserve">Subject to the Separation Agreement having been duly concluded, the Executive shall, with effect from 1 September 2026 (the "Effective </w:t>
      </w:r>
      <w:r>
        <w:rPr>
          <w:rFonts w:ascii="Arial" w:cs="Arial" w:eastAsia="Arial" w:hAnsi="Arial"/>
          <w:sz w:val="17"/>
          <w:szCs w:val="17"/>
          <w:color w:val="auto"/>
          <w:highlight w:val="black"/>
        </w:rPr>
        <w:t xml:space="preserve">Date"), </w:t>
      </w:r>
      <w:r>
        <w:rPr>
          <w:rFonts w:ascii="Arial" w:cs="Arial" w:eastAsia="Arial" w:hAnsi="Arial"/>
          <w:sz w:val="17"/>
          <w:szCs w:val="17"/>
          <w:color w:val="auto"/>
        </w:rPr>
        <w:t>be employed by the Company and shall continue to serve as Executive Vice President and Chief Revenue Officer of the Gogo</w:t>
      </w:r>
      <w:r>
        <w:rPr>
          <w:rFonts w:ascii="Arial" w:cs="Arial" w:eastAsia="Arial" w:hAnsi="Arial"/>
          <w:sz w:val="17"/>
          <w:szCs w:val="17"/>
          <w:color w:val="auto"/>
          <w:highlight w:val="black"/>
        </w:rPr>
        <w:t xml:space="preserve"> </w:t>
      </w:r>
      <w:r>
        <w:rPr>
          <w:rFonts w:ascii="Arial" w:cs="Arial" w:eastAsia="Arial" w:hAnsi="Arial"/>
          <w:sz w:val="17"/>
          <w:szCs w:val="17"/>
          <w:color w:val="auto"/>
        </w:rPr>
        <w:t>Group. The Executive shall report to the board of managers of the Company and to the Board of Directors of the Parent Company.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color w:val="auto"/>
          <w:highlight w:val="black"/>
        </w:rPr>
        <w:t>Place of Work</w:t>
      </w:r>
    </w:p>
    <w:p>
      <w:pPr>
        <w:spacing w:after="0" w:line="199"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7"/>
          <w:szCs w:val="17"/>
          <w:color w:val="auto"/>
        </w:rPr>
        <w:t>The Company being a newly established subsidiary of the Gogo Group does not have an established place of business. Accordingly, the Executive's primary work location is the Executive’s home address in Denmark. The Company shall provide the necessary work equipment in connection with the arrangement of the home workplace.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hanging="884"/>
        <w:spacing w:after="0" w:line="256" w:lineRule="auto"/>
        <w:tabs>
          <w:tab w:leader="none" w:pos="7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The Parties shall cooperate in ensuring compliance with the Danish Working Environment Act (in Danish: "arbejdsmiljøloven") in this respect, including that the home workplace is arranged in a fully satisfactory manner. The Executive acknowledges that he has a special obligation to ensure that the Home Workplace is suitable for performing the work, including that it can be conducted in a safe and healthy manner. The Executive must immediately notify the Company of any working environment issues, accidents, or health and safety concerns related to the Home Workplace or the performance of the work.</w:t>
      </w:r>
    </w:p>
    <w:p>
      <w:pPr>
        <w:spacing w:after="0" w:line="186"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The Parties acknowledge that the Company may eventually establish a place of business in the Greater Copenhagen area and that the Executive, in such case, due to his position within the Gogo Group, will be assigned a permanent workplace at the Company’s place of business without this being considered a material change to the Executive's terms of employment.</w:t>
      </w:r>
    </w:p>
    <w:p>
      <w:pPr>
        <w:spacing w:after="0" w:line="179" w:lineRule="exact"/>
        <w:rPr>
          <w:sz w:val="20"/>
          <w:szCs w:val="20"/>
          <w:color w:val="auto"/>
        </w:rPr>
      </w:pPr>
    </w:p>
    <w:p>
      <w:pPr>
        <w:jc w:val="both"/>
        <w:ind w:left="720" w:hanging="884"/>
        <w:spacing w:after="0" w:line="234" w:lineRule="auto"/>
        <w:tabs>
          <w:tab w:leader="none" w:pos="70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color w:val="auto"/>
        </w:rPr>
        <w:t>The Executive will be required to attend meetings, training and other work-related activities at other locations in Denmark and abroad, and will travel as required for the performance of his duties.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color w:val="auto"/>
          <w:highlight w:val="black"/>
        </w:rPr>
        <w:t>Hours of Work</w:t>
      </w:r>
    </w:p>
    <w:p>
      <w:pPr>
        <w:spacing w:after="0" w:line="199" w:lineRule="exact"/>
        <w:rPr>
          <w:sz w:val="20"/>
          <w:szCs w:val="20"/>
          <w:color w:val="auto"/>
        </w:rPr>
      </w:pPr>
    </w:p>
    <w:p>
      <w:pPr>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1.3.1</w:t>
      </w:r>
      <w:r>
        <w:rPr>
          <w:sz w:val="20"/>
          <w:szCs w:val="20"/>
          <w:color w:val="auto"/>
        </w:rPr>
        <w:tab/>
      </w:r>
      <w:r>
        <w:rPr>
          <w:rFonts w:ascii="Arial" w:cs="Arial" w:eastAsia="Arial" w:hAnsi="Arial"/>
          <w:sz w:val="17"/>
          <w:szCs w:val="17"/>
          <w:color w:val="auto"/>
        </w:rPr>
        <w:t>The Executive is employed in a full-time position. The Executive is personally responsible for planning and organising his working hours, taking into account the operational requirements of the Company.</w:t>
      </w:r>
    </w:p>
    <w:p>
      <w:pPr>
        <w:spacing w:after="0" w:line="186"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1.3.2</w:t>
      </w:r>
      <w:r>
        <w:rPr>
          <w:sz w:val="20"/>
          <w:szCs w:val="20"/>
          <w:color w:val="auto"/>
        </w:rPr>
        <w:tab/>
      </w:r>
      <w:r>
        <w:rPr>
          <w:rFonts w:ascii="Arial" w:cs="Arial" w:eastAsia="Arial" w:hAnsi="Arial"/>
          <w:sz w:val="17"/>
          <w:szCs w:val="17"/>
          <w:color w:val="auto"/>
        </w:rPr>
        <w:t>By virtue of his position, the Executive holds managerial functions and authority to make independent decisions. The Parties agree that the Executive is considered a self-scheduler pursuant to section 1(6) of the Act implementing the Working Time Directive. Accordingly, the employment relationship is not subject to sections 3, 4 and 5 of the Act implementing the Working Time Directive or to sections 3 and 4 of the Executive Order on Rest Periods. The Executive is not required to record his daily working hours.</w:t>
      </w:r>
    </w:p>
    <w:p>
      <w:pPr>
        <w:spacing w:after="0" w:line="188" w:lineRule="exact"/>
        <w:rPr>
          <w:sz w:val="20"/>
          <w:szCs w:val="20"/>
          <w:color w:val="auto"/>
        </w:rPr>
      </w:pPr>
    </w:p>
    <w:p>
      <w:pPr>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1.3.3</w:t>
      </w:r>
      <w:r>
        <w:rPr>
          <w:sz w:val="20"/>
          <w:szCs w:val="20"/>
          <w:color w:val="auto"/>
        </w:rPr>
        <w:tab/>
      </w:r>
      <w:r>
        <w:rPr>
          <w:rFonts w:ascii="Arial" w:cs="Arial" w:eastAsia="Arial" w:hAnsi="Arial"/>
          <w:sz w:val="17"/>
          <w:szCs w:val="17"/>
          <w:color w:val="auto"/>
        </w:rPr>
        <w:t>The Executive is covered by the general principles of the Danish Working Environment Act regarding the protection of employees’ safety and health.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1.4  Danish Salaried Employees Act</w:t>
      </w:r>
    </w:p>
    <w:p>
      <w:pPr>
        <w:spacing w:after="0" w:line="15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1.4.1</w:t>
      </w:r>
      <w:r>
        <w:rPr>
          <w:sz w:val="20"/>
          <w:szCs w:val="20"/>
          <w:color w:val="auto"/>
        </w:rPr>
        <w:tab/>
      </w:r>
      <w:r>
        <w:rPr>
          <w:rFonts w:ascii="Arial" w:cs="Arial" w:eastAsia="Arial" w:hAnsi="Arial"/>
          <w:sz w:val="17"/>
          <w:szCs w:val="17"/>
          <w:color w:val="auto"/>
        </w:rPr>
        <w:t>The employment relationship is governed by the Danish Salaried Employees Act (in Danish: Funktionærloven"). The Executive's seniority</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as a salaried employee ((in Danish: "funktionær") is calculated from the Effective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color w:val="auto"/>
          <w:highlight w:val="black"/>
        </w:rPr>
        <w:t>Code of Conduct and Employee Policies</w:t>
      </w:r>
    </w:p>
    <w:p>
      <w:pPr>
        <w:spacing w:after="0" w:line="199" w:lineRule="exact"/>
        <w:rPr>
          <w:sz w:val="20"/>
          <w:szCs w:val="20"/>
          <w:color w:val="auto"/>
        </w:rPr>
      </w:pPr>
    </w:p>
    <w:p>
      <w:pPr>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color w:val="auto"/>
        </w:rPr>
        <w:t>The Executive is subject to the Gogo Group's code of conduct, as amended from time to time. By signing this Contract, the Executive acknowledges that he has familiarised himself with the Gogo Group's code of conduct and undertakes to comply with it.</w:t>
      </w:r>
    </w:p>
    <w:p>
      <w:pPr>
        <w:spacing w:after="0" w:line="186"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1.5.2</w:t>
      </w:r>
      <w:r>
        <w:rPr>
          <w:sz w:val="20"/>
          <w:szCs w:val="20"/>
          <w:color w:val="auto"/>
        </w:rPr>
        <w:tab/>
      </w:r>
      <w:r>
        <w:rPr>
          <w:rFonts w:ascii="Arial" w:cs="Arial" w:eastAsia="Arial" w:hAnsi="Arial"/>
          <w:sz w:val="17"/>
          <w:szCs w:val="17"/>
          <w:color w:val="auto"/>
        </w:rPr>
        <w:t>The Company may from time to time issue employee policies and guidelines governing the Executive's employment. The Executive is required to familiarise himself with and comply with such policies and guidelines in force from time to time. In addition, the Executive acknowledges that his employment may also be governed by the Gogo Group's employee policies and guidelines that are applicable to employees in the Gogo Group's foreign subsidiaries, as amended from time to time.</w:t>
      </w:r>
    </w:p>
    <w:p>
      <w:pPr>
        <w:spacing w:after="0" w:line="188" w:lineRule="exact"/>
        <w:rPr>
          <w:sz w:val="20"/>
          <w:szCs w:val="20"/>
          <w:color w:val="auto"/>
        </w:rPr>
      </w:pPr>
    </w:p>
    <w:p>
      <w:pPr>
        <w:ind w:right="7220" w:firstLine="8"/>
        <w:spacing w:after="0" w:line="411" w:lineRule="auto"/>
        <w:tabs>
          <w:tab w:leader="none" w:pos="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RIGHTS AND OBLIGATIONS OF THE EXECUTIVE 2.1 </w:t>
      </w:r>
      <w:r>
        <w:rPr>
          <w:rFonts w:ascii="Arial" w:cs="Arial" w:eastAsia="Arial" w:hAnsi="Arial"/>
          <w:sz w:val="17"/>
          <w:szCs w:val="17"/>
          <w:color w:val="auto"/>
          <w:highlight w:val="black"/>
        </w:rPr>
        <w:t>Sideline Occupation</w:t>
      </w:r>
    </w:p>
    <w:p>
      <w:pPr>
        <w:spacing w:after="0" w:line="46"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The Executive shall not undertake any sideline occupation whether for professional or leisure purposes, that is incompatible with the employment relationship with the Company. In particular, the Executive shall not take on work where the working hours of such sideline occupation cannot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spacing w:after="0" w:line="234" w:lineRule="auto"/>
        <w:rPr>
          <w:sz w:val="20"/>
          <w:szCs w:val="20"/>
          <w:color w:val="auto"/>
        </w:rPr>
      </w:pPr>
      <w:r>
        <w:rPr>
          <w:rFonts w:ascii="Arial" w:cs="Arial" w:eastAsia="Arial" w:hAnsi="Arial"/>
          <w:sz w:val="17"/>
          <w:szCs w:val="17"/>
          <w:color w:val="auto"/>
        </w:rPr>
        <w:t>be reconciled with the Executive's duties to the Company, or where the nature of the work is incompatible with the employment relationship due to considerations of health and safety, protection of trade secrets, or the avoidance of conflicts of interest.</w:t>
      </w:r>
    </w:p>
    <w:p>
      <w:pPr>
        <w:spacing w:after="0" w:line="199" w:lineRule="exact"/>
        <w:rPr>
          <w:sz w:val="20"/>
          <w:szCs w:val="20"/>
          <w:color w:val="auto"/>
        </w:rPr>
      </w:pPr>
    </w:p>
    <w:p>
      <w:pPr>
        <w:ind w:left="720" w:hanging="884"/>
        <w:spacing w:after="0" w:line="234" w:lineRule="auto"/>
        <w:tabs>
          <w:tab w:leader="none" w:pos="70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color w:val="auto"/>
        </w:rPr>
        <w:t>Prior to commencing any sideline occupation, the Executive shall notify the Company in writing and provide sufficient information to enable the Company to assess whether the work in question would be incompatible with the employment relationship.</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2.2  Social Contributions and Social Security</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The Company pays social contributions in relation to the employment relationship to the following social security institutions:</w:t>
      </w:r>
    </w:p>
    <w:p>
      <w:pPr>
        <w:spacing w:after="0" w:line="169" w:lineRule="exact"/>
        <w:rPr>
          <w:sz w:val="20"/>
          <w:szCs w:val="20"/>
          <w:color w:val="auto"/>
        </w:rPr>
      </w:pPr>
    </w:p>
    <w:p>
      <w:pPr>
        <w:ind w:left="1260" w:hanging="368"/>
        <w:spacing w:after="0"/>
        <w:tabs>
          <w:tab w:leader="none" w:pos="1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Supplementary Labour Market Pension (in Danish: "Arbejdsmarkedets Tillægspension"), company reg. no. 43405810;</w:t>
      </w:r>
    </w:p>
    <w:p>
      <w:pPr>
        <w:spacing w:after="0" w:line="158" w:lineRule="exact"/>
        <w:rPr>
          <w:rFonts w:ascii="Arial" w:cs="Arial" w:eastAsia="Arial" w:hAnsi="Arial"/>
          <w:sz w:val="17"/>
          <w:szCs w:val="17"/>
          <w:color w:val="auto"/>
        </w:rPr>
      </w:pPr>
    </w:p>
    <w:p>
      <w:pPr>
        <w:ind w:left="900" w:right="1860"/>
        <w:spacing w:after="0" w:line="361" w:lineRule="auto"/>
        <w:rPr>
          <w:rFonts w:ascii="Arial" w:cs="Arial" w:eastAsia="Arial" w:hAnsi="Arial"/>
          <w:sz w:val="17"/>
          <w:szCs w:val="17"/>
          <w:color w:val="auto"/>
        </w:rPr>
      </w:pPr>
      <w:r>
        <w:rPr>
          <w:rFonts w:ascii="Arial" w:cs="Arial" w:eastAsia="Arial" w:hAnsi="Arial"/>
          <w:sz w:val="17"/>
          <w:szCs w:val="17"/>
          <w:color w:val="auto"/>
        </w:rPr>
        <w:t>2 Labour Market Insurance (in Danish: "S/I Arbejdsmarkedets Erhvervssikring"), company reg. no. 37624780; 3 The Company's industrial injury insurance name and registration can be provided upon request; and</w:t>
      </w:r>
    </w:p>
    <w:p>
      <w:pPr>
        <w:spacing w:after="0" w:line="30"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color w:val="auto"/>
        </w:rPr>
        <w:t>4   The Company's maternity/paternity fund barsel.dk, company reg. no. 29596948.</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2.2.2</w:t>
      </w:r>
      <w:r>
        <w:rPr>
          <w:sz w:val="20"/>
          <w:szCs w:val="20"/>
          <w:color w:val="auto"/>
        </w:rPr>
        <w:tab/>
      </w:r>
      <w:r>
        <w:rPr>
          <w:rFonts w:ascii="Arial" w:cs="Arial" w:eastAsia="Arial" w:hAnsi="Arial"/>
          <w:sz w:val="16"/>
          <w:szCs w:val="16"/>
          <w:color w:val="auto"/>
        </w:rPr>
        <w:t>The Executive is covered by the Company's health insurance with PFA Pension, company reg. no 13594376.</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color w:val="auto"/>
          <w:highlight w:val="black"/>
        </w:rPr>
        <w:t>Duty of Confidentiality</w:t>
      </w:r>
    </w:p>
    <w:p>
      <w:pPr>
        <w:spacing w:after="0" w:line="199"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The Executive is bound by a duty of confidentiality concerning any information acquired in the course of the Executive's employment with the Company, unless such information is, by its nature, intended for disclosure to third parties. This duty of confidentiality shall remain in force following the termination of the employment relationship.</w:t>
      </w:r>
    </w:p>
    <w:p>
      <w:pPr>
        <w:spacing w:after="0" w:line="193"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The Executive shall ensure that all documents, information and other materials relating to the Company's affairs that are available to the Executive, including but not limited to price lists, customer lists, calculations and market surveys, are stored securely and not disclosed to unauthorised persons.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2.4  Intellectual Property Rights and Know-how</w:t>
      </w:r>
    </w:p>
    <w:p>
      <w:pPr>
        <w:spacing w:after="0" w:line="199" w:lineRule="exact"/>
        <w:rPr>
          <w:sz w:val="20"/>
          <w:szCs w:val="20"/>
          <w:color w:val="auto"/>
        </w:rPr>
      </w:pPr>
    </w:p>
    <w:p>
      <w:pPr>
        <w:jc w:val="both"/>
        <w:ind w:left="720" w:hanging="884"/>
        <w:spacing w:after="0" w:line="259" w:lineRule="auto"/>
        <w:tabs>
          <w:tab w:leader="none" w:pos="70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The Company acquires the ownership to any results, in whatever form, whether protectable or not, including but not limited to inventions, ideas, concepts, production methods, works, databases, computer programmes and creations of any kind, along with all deriving intellectual property rights, including but not limited to patents, utility models, designs, trademarks, copyrights and database rights, as well as any know-how (collectively referred to as "Intellectual Property Rights"), developed or created by the Executive during the term of the employment, unless prevented by mandatory rules and regulations. The same will apply to any and all Intellectual Property Rights created or conceived by the Executive after termination/expiry of the employment if such right is, in full or in part, a result of activities performed during the term of employment.</w:t>
      </w:r>
    </w:p>
    <w:p>
      <w:pPr>
        <w:spacing w:after="0" w:line="184"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2.4.2</w:t>
      </w:r>
      <w:r>
        <w:rPr>
          <w:sz w:val="20"/>
          <w:szCs w:val="20"/>
          <w:color w:val="auto"/>
        </w:rPr>
        <w:tab/>
      </w:r>
      <w:r>
        <w:rPr>
          <w:rFonts w:ascii="Arial" w:cs="Arial" w:eastAsia="Arial" w:hAnsi="Arial"/>
          <w:sz w:val="17"/>
          <w:szCs w:val="17"/>
          <w:color w:val="auto"/>
        </w:rPr>
        <w:t>Clause 2.4 applies to all Intellectual Property Rights which directly or indirectly fall within the business activities of the Company and/or the Company's subsidiary and/or affiliated company or which are a result of a task instigated by the Company. It is of no importance for the Company's rights whether or not the Intellectual Property Rights are developed or created by the Executive personally or in cooperation with others, and whether this takes place during the Executive's working hours or spare time.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2.4.3</w:t>
      </w:r>
      <w:r>
        <w:rPr>
          <w:sz w:val="20"/>
          <w:szCs w:val="20"/>
          <w:color w:val="auto"/>
        </w:rPr>
        <w:tab/>
      </w:r>
      <w:r>
        <w:rPr>
          <w:rFonts w:ascii="Arial" w:cs="Arial" w:eastAsia="Arial" w:hAnsi="Arial"/>
          <w:sz w:val="17"/>
          <w:szCs w:val="17"/>
          <w:color w:val="auto"/>
        </w:rPr>
        <w:t>The Executive is obliged to notify the Company of all Intellectual Property Rights immediately after their creation. The notification must contain all information necessary to evaluate their importance for the Company.</w:t>
      </w:r>
    </w:p>
    <w:p>
      <w:pPr>
        <w:spacing w:after="0" w:line="199" w:lineRule="exact"/>
        <w:rPr>
          <w:sz w:val="20"/>
          <w:szCs w:val="20"/>
          <w:color w:val="auto"/>
        </w:rPr>
      </w:pPr>
    </w:p>
    <w:p>
      <w:pPr>
        <w:ind w:left="720" w:right="40" w:hanging="884"/>
        <w:spacing w:after="0" w:line="234" w:lineRule="auto"/>
        <w:tabs>
          <w:tab w:leader="none" w:pos="700" w:val="left"/>
        </w:tabs>
        <w:rPr>
          <w:sz w:val="20"/>
          <w:szCs w:val="20"/>
          <w:color w:val="auto"/>
        </w:rPr>
      </w:pPr>
      <w:r>
        <w:rPr>
          <w:rFonts w:ascii="Arial" w:cs="Arial" w:eastAsia="Arial" w:hAnsi="Arial"/>
          <w:sz w:val="17"/>
          <w:szCs w:val="17"/>
          <w:color w:val="auto"/>
        </w:rPr>
        <w:t>2.4.4</w:t>
      </w:r>
      <w:r>
        <w:rPr>
          <w:sz w:val="20"/>
          <w:szCs w:val="20"/>
          <w:color w:val="auto"/>
        </w:rPr>
        <w:tab/>
      </w:r>
      <w:r>
        <w:rPr>
          <w:rFonts w:ascii="Arial" w:cs="Arial" w:eastAsia="Arial" w:hAnsi="Arial"/>
          <w:sz w:val="17"/>
          <w:szCs w:val="17"/>
          <w:color w:val="auto"/>
        </w:rPr>
        <w:t>The Executive is obliged to provide the Company with any assistance necessary for the Company to obtain ownership of, apply for registration of, protect, assign or exploit the Intellectual Property Rights worldwide.</w:t>
      </w:r>
    </w:p>
    <w:p>
      <w:pPr>
        <w:spacing w:after="0" w:line="186" w:lineRule="exact"/>
        <w:rPr>
          <w:sz w:val="20"/>
          <w:szCs w:val="20"/>
          <w:color w:val="auto"/>
        </w:rPr>
      </w:pPr>
    </w:p>
    <w:p>
      <w:pPr>
        <w:jc w:val="both"/>
        <w:ind w:left="720" w:hanging="884"/>
        <w:spacing w:after="0" w:line="256" w:lineRule="auto"/>
        <w:tabs>
          <w:tab w:leader="none" w:pos="700" w:val="left"/>
        </w:tabs>
        <w:rPr>
          <w:sz w:val="20"/>
          <w:szCs w:val="20"/>
          <w:color w:val="auto"/>
        </w:rPr>
      </w:pPr>
      <w:r>
        <w:rPr>
          <w:rFonts w:ascii="Arial" w:cs="Arial" w:eastAsia="Arial" w:hAnsi="Arial"/>
          <w:sz w:val="17"/>
          <w:szCs w:val="17"/>
          <w:color w:val="auto"/>
        </w:rPr>
        <w:t>2.4.5</w:t>
      </w:r>
      <w:r>
        <w:rPr>
          <w:sz w:val="20"/>
          <w:szCs w:val="20"/>
          <w:color w:val="auto"/>
        </w:rPr>
        <w:tab/>
      </w:r>
      <w:r>
        <w:rPr>
          <w:rFonts w:ascii="Arial" w:cs="Arial" w:eastAsia="Arial" w:hAnsi="Arial"/>
          <w:sz w:val="17"/>
          <w:szCs w:val="17"/>
          <w:color w:val="auto"/>
        </w:rPr>
        <w:t>The Company's acquisition of the ownership to the Intellectual Property Rights takes place without the Company being obligated to notify the Executive specifically in this respect. Section 7 (1) of the Danish Act on Employees' Inventions has been derogated from by the provisions of this Clause. This Contract constitutes the final document of assignment of the Intellectual Property Rights to the Company for any purpose whatsoever, including registration, alterations or transfer to a third party. Section 56 of the Danish Copyright Act has been derogated from by the provisions of this Clause.</w:t>
      </w:r>
    </w:p>
    <w:p>
      <w:pPr>
        <w:spacing w:after="0" w:line="186"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2.4.6</w:t>
      </w:r>
      <w:r>
        <w:rPr>
          <w:sz w:val="20"/>
          <w:szCs w:val="20"/>
          <w:color w:val="auto"/>
        </w:rPr>
        <w:tab/>
      </w:r>
      <w:r>
        <w:rPr>
          <w:rFonts w:ascii="Arial" w:cs="Arial" w:eastAsia="Arial" w:hAnsi="Arial"/>
          <w:sz w:val="17"/>
          <w:szCs w:val="17"/>
          <w:color w:val="auto"/>
        </w:rPr>
        <w:t>Unless otherwise provided for by mandatory rules and regulations, the Executive shall not receive any special compensation for the assignment of Intellectual Property Rights. The Executive's financial rights under the Contract are determined with due consideration thereof.</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color w:val="auto"/>
          <w:highlight w:val="black"/>
        </w:rPr>
        <w:t>Personal data</w:t>
      </w:r>
    </w:p>
    <w:p>
      <w:pPr>
        <w:spacing w:after="0" w:line="185"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The Executive's personal data will be processed in accordance with the Company's employee privacy policy. This policy contains information about the Executive's rights under the General Data Protection Regulation (the GDPR) and the Danish Act on Data Protection (in Danish "databeskyttelsesloven"). The employee privacy policy can be found on the Company’s intranet.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color w:val="auto"/>
          <w:highlight w:val="black"/>
        </w:rPr>
        <w:t>Illness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2.6.1</w:t>
      </w:r>
      <w:r>
        <w:rPr>
          <w:sz w:val="20"/>
          <w:szCs w:val="20"/>
          <w:color w:val="auto"/>
        </w:rPr>
        <w:tab/>
      </w:r>
      <w:r>
        <w:rPr>
          <w:rFonts w:ascii="Arial" w:cs="Arial" w:eastAsia="Arial" w:hAnsi="Arial"/>
          <w:sz w:val="16"/>
          <w:szCs w:val="16"/>
          <w:color w:val="auto"/>
        </w:rPr>
        <w:t>The Executive is entitled to salary in case of absence due to illness in accordance with the Danish Salaried Employees Act.</w:t>
      </w:r>
    </w:p>
    <w:p>
      <w:pPr>
        <w:spacing w:after="0" w:line="185"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2.6.2</w:t>
      </w:r>
      <w:r>
        <w:rPr>
          <w:sz w:val="20"/>
          <w:szCs w:val="20"/>
          <w:color w:val="auto"/>
        </w:rPr>
        <w:tab/>
      </w:r>
      <w:r>
        <w:rPr>
          <w:rFonts w:ascii="Arial" w:cs="Arial" w:eastAsia="Arial" w:hAnsi="Arial"/>
          <w:sz w:val="17"/>
          <w:szCs w:val="17"/>
          <w:color w:val="auto"/>
        </w:rPr>
        <w:t>The Executive shall notify the Company immediately in the event of absence due to illness. The Company shall be entitled to require documentation confirming the Executive's incapacity to work and the expected duration thereof. The costs of obtaining such documentation shall be borne by the Company, save that the Executive shall bear the costs of medical documentation in respect of illness occurring during holiday.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color w:val="auto"/>
          <w:highlight w:val="black"/>
        </w:rPr>
        <w:t>Other Conditions</w:t>
      </w:r>
    </w:p>
    <w:p>
      <w:pPr>
        <w:spacing w:after="0" w:line="199" w:lineRule="exact"/>
        <w:rPr>
          <w:sz w:val="20"/>
          <w:szCs w:val="20"/>
          <w:color w:val="auto"/>
        </w:rPr>
      </w:pPr>
    </w:p>
    <w:p>
      <w:pPr>
        <w:jc w:val="both"/>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2.7.1</w:t>
      </w:r>
      <w:r>
        <w:rPr>
          <w:sz w:val="20"/>
          <w:szCs w:val="20"/>
          <w:color w:val="auto"/>
        </w:rPr>
        <w:tab/>
      </w:r>
      <w:r>
        <w:rPr>
          <w:rFonts w:ascii="Arial" w:cs="Arial" w:eastAsia="Arial" w:hAnsi="Arial"/>
          <w:sz w:val="17"/>
          <w:szCs w:val="17"/>
          <w:color w:val="auto"/>
        </w:rPr>
        <w:t>The Executive is obliged to keep the Company informed of his home address as well as his bank registration and account numbers for the purpose of the Company's salary payments.</w:t>
      </w:r>
    </w:p>
    <w:p>
      <w:pPr>
        <w:spacing w:after="0" w:line="186"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2.7.2</w:t>
      </w:r>
      <w:r>
        <w:rPr>
          <w:sz w:val="20"/>
          <w:szCs w:val="20"/>
          <w:color w:val="auto"/>
        </w:rPr>
        <w:tab/>
      </w:r>
      <w:r>
        <w:rPr>
          <w:rFonts w:ascii="Arial" w:cs="Arial" w:eastAsia="Arial" w:hAnsi="Arial"/>
          <w:sz w:val="17"/>
          <w:szCs w:val="17"/>
          <w:color w:val="auto"/>
        </w:rPr>
        <w:t>Correspondence and other communications conducted through the Company's electronic communication and postal systems shall be considered written correspondence belonging to the Company, which the Company may access and have at its disposal as with other correspondence to and from the Company. To the extent that the Executive may wish to use the Company's IT systems for private communication, the Executive shall explicitly mark such communication as "private" in the subject line or equivalent field.</w:t>
      </w:r>
    </w:p>
    <w:p>
      <w:pPr>
        <w:spacing w:after="0" w:line="188" w:lineRule="exact"/>
        <w:rPr>
          <w:sz w:val="20"/>
          <w:szCs w:val="20"/>
          <w:color w:val="auto"/>
        </w:rPr>
      </w:pPr>
    </w:p>
    <w:p>
      <w:pPr>
        <w:ind w:right="5800" w:firstLine="8"/>
        <w:spacing w:after="0" w:line="411"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EXECUTIVE'S FINANCIAL RIGHTS DURING THE EMPLOYMENT 3.1 </w:t>
      </w:r>
      <w:r>
        <w:rPr>
          <w:rFonts w:ascii="Arial" w:cs="Arial" w:eastAsia="Arial" w:hAnsi="Arial"/>
          <w:sz w:val="17"/>
          <w:szCs w:val="17"/>
          <w:color w:val="auto"/>
          <w:highlight w:val="black"/>
        </w:rPr>
        <w:t>Salary</w:t>
      </w:r>
    </w:p>
    <w:p>
      <w:pPr>
        <w:spacing w:after="0" w:line="46"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The Executive's annual salary amounts to DKK 2.966.500 (the “Base Salary”) and shall be payable on a monthly basis in arrears by 1/12 on the last banking day of each month. The salary shall be reviewed on at least an annual basis by the Gogo Group’s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spacing w:after="0" w:line="234" w:lineRule="auto"/>
        <w:rPr>
          <w:sz w:val="20"/>
          <w:szCs w:val="20"/>
          <w:color w:val="auto"/>
        </w:rPr>
      </w:pPr>
      <w:r>
        <w:rPr>
          <w:rFonts w:ascii="Arial" w:cs="Arial" w:eastAsia="Arial" w:hAnsi="Arial"/>
          <w:sz w:val="17"/>
          <w:szCs w:val="17"/>
          <w:color w:val="auto"/>
        </w:rPr>
        <w:t xml:space="preserve">of Directors (the “Compensation Committee”) </w:t>
      </w:r>
      <w:r>
        <w:rPr>
          <w:rFonts w:ascii="Arial" w:cs="Arial" w:eastAsia="Arial" w:hAnsi="Arial"/>
          <w:sz w:val="17"/>
          <w:szCs w:val="17"/>
          <w:color w:val="212121"/>
        </w:rPr>
        <w:t>in consultation with Gogo Group’s external compensation consultant</w:t>
      </w:r>
      <w:r>
        <w:rPr>
          <w:rFonts w:ascii="Arial" w:cs="Arial" w:eastAsia="Arial" w:hAnsi="Arial"/>
          <w:sz w:val="17"/>
          <w:szCs w:val="17"/>
          <w:color w:val="auto"/>
        </w:rPr>
        <w:t>. Any adjustment of the salary shall be effective as of the approval of the Compensation Committee.</w:t>
      </w:r>
    </w:p>
    <w:p>
      <w:pPr>
        <w:spacing w:after="0" w:line="199"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The Parties agree that the Executive is not entitled to a salary supplement under the law concerning the consequences of abolishing the General Prayer Day as a public holiday, as the Executive’s working hours have not increased pursuant to Section 3, subsection 1 of the said law. The day that was previously the General Prayer Day is now a regular working day, and this has been taken into account in the determination of the Executive's salary.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color w:val="auto"/>
          <w:highlight w:val="black"/>
        </w:rPr>
        <w:t>Pension Contribution</w:t>
      </w:r>
    </w:p>
    <w:p>
      <w:pPr>
        <w:spacing w:after="0" w:line="199" w:lineRule="exact"/>
        <w:rPr>
          <w:sz w:val="20"/>
          <w:szCs w:val="20"/>
          <w:color w:val="auto"/>
        </w:rPr>
      </w:pPr>
    </w:p>
    <w:p>
      <w:pPr>
        <w:jc w:val="both"/>
        <w:ind w:left="720" w:hanging="884"/>
        <w:spacing w:after="0" w:line="254" w:lineRule="auto"/>
        <w:tabs>
          <w:tab w:leader="none" w:pos="7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 xml:space="preserve">Further to the salary, the Executive shall receive a pension contribution from the Company of </w:t>
      </w:r>
      <w:r>
        <w:rPr>
          <w:rFonts w:ascii="Arial" w:cs="Arial" w:eastAsia="Arial" w:hAnsi="Arial"/>
          <w:sz w:val="17"/>
          <w:szCs w:val="17"/>
          <w:color w:val="auto"/>
          <w:highlight w:val="black"/>
        </w:rPr>
        <w:t>fifteen</w:t>
      </w:r>
      <w:r>
        <w:rPr>
          <w:rFonts w:ascii="Arial" w:cs="Arial" w:eastAsia="Arial" w:hAnsi="Arial"/>
          <w:sz w:val="17"/>
          <w:szCs w:val="17"/>
          <w:color w:val="auto"/>
        </w:rPr>
        <w:t xml:space="preserve"> per cent of the annual salary, see Clause 3.1.1. In addition, the Executive shall pay a contribution of </w:t>
      </w:r>
      <w:r>
        <w:rPr>
          <w:rFonts w:ascii="Arial" w:cs="Arial" w:eastAsia="Arial" w:hAnsi="Arial"/>
          <w:sz w:val="17"/>
          <w:szCs w:val="17"/>
          <w:color w:val="auto"/>
          <w:highlight w:val="black"/>
        </w:rPr>
        <w:t>fifteen</w:t>
      </w:r>
      <w:r>
        <w:rPr>
          <w:rFonts w:ascii="Arial" w:cs="Arial" w:eastAsia="Arial" w:hAnsi="Arial"/>
          <w:sz w:val="17"/>
          <w:szCs w:val="17"/>
          <w:color w:val="auto"/>
        </w:rPr>
        <w:t xml:space="preserve"> per cent of the annual salary. The pension contributions shall be payable on a monthly basis in arrears by 1/12 on the last banking day of each month to the Company's pension scheme with </w:t>
      </w:r>
      <w:r>
        <w:rPr>
          <w:rFonts w:ascii="Arial" w:cs="Arial" w:eastAsia="Arial" w:hAnsi="Arial"/>
          <w:sz w:val="17"/>
          <w:szCs w:val="17"/>
          <w:color w:val="auto"/>
          <w:highlight w:val="black"/>
        </w:rPr>
        <w:t>PFA</w:t>
      </w:r>
      <w:r>
        <w:rPr>
          <w:rFonts w:ascii="Arial" w:cs="Arial" w:eastAsia="Arial" w:hAnsi="Arial"/>
          <w:sz w:val="17"/>
          <w:szCs w:val="17"/>
          <w:color w:val="auto"/>
        </w:rPr>
        <w:t xml:space="preserve"> </w:t>
      </w:r>
      <w:r>
        <w:rPr>
          <w:rFonts w:ascii="Arial" w:cs="Arial" w:eastAsia="Arial" w:hAnsi="Arial"/>
          <w:sz w:val="17"/>
          <w:szCs w:val="17"/>
          <w:color w:val="auto"/>
          <w:highlight w:val="black"/>
        </w:rPr>
        <w:t>Pension.</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color w:val="auto"/>
          <w:highlight w:val="black"/>
        </w:rPr>
        <w:t>Bonus</w:t>
      </w:r>
    </w:p>
    <w:p>
      <w:pPr>
        <w:spacing w:after="0" w:line="15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3.3.1</w:t>
      </w:r>
      <w:r>
        <w:rPr>
          <w:sz w:val="20"/>
          <w:szCs w:val="20"/>
          <w:color w:val="auto"/>
        </w:rPr>
        <w:tab/>
      </w:r>
      <w:r>
        <w:rPr>
          <w:rFonts w:ascii="Arial" w:cs="Arial" w:eastAsia="Arial" w:hAnsi="Arial"/>
          <w:sz w:val="17"/>
          <w:szCs w:val="17"/>
          <w:color w:val="auto"/>
        </w:rPr>
        <w:t>The Executive is eligible for an annual bonus, which shall be earned as follows:</w:t>
      </w:r>
    </w:p>
    <w:p>
      <w:pPr>
        <w:spacing w:after="0" w:line="199" w:lineRule="exact"/>
        <w:rPr>
          <w:sz w:val="20"/>
          <w:szCs w:val="20"/>
          <w:color w:val="auto"/>
        </w:rPr>
      </w:pPr>
    </w:p>
    <w:p>
      <w:pPr>
        <w:ind w:left="1480" w:hanging="587"/>
        <w:spacing w:after="0" w:line="247" w:lineRule="auto"/>
        <w:tabs>
          <w:tab w:leader="none" w:pos="12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target bonus of 40 per cent of the annual salary, see Clause 3.1.1, for achievement of goals and objectives established for Gogo Group under the Gogo Group’s Annual Bonus Program. The achievement of such goals and objectives shall be assessed by the Compensation Committee in its sole discretion following the end of the relevant performance period.</w:t>
      </w:r>
    </w:p>
    <w:p>
      <w:pPr>
        <w:spacing w:after="0" w:line="111" w:lineRule="exact"/>
        <w:rPr>
          <w:rFonts w:ascii="Arial" w:cs="Arial" w:eastAsia="Arial" w:hAnsi="Arial"/>
          <w:sz w:val="17"/>
          <w:szCs w:val="17"/>
          <w:color w:val="auto"/>
        </w:rPr>
      </w:pPr>
    </w:p>
    <w:p>
      <w:pPr>
        <w:ind w:left="1480" w:hanging="587"/>
        <w:spacing w:after="0" w:line="253" w:lineRule="auto"/>
        <w:tabs>
          <w:tab w:leader="none" w:pos="12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target bonus of 40 per cent of the annual salary, see Clause 3.1.1, for achievement of goals and objectives established for the Gogo Group commercial sales department under the Gogo Group’s Sales Bonus Program. The achievement of such goals and objectives shall be assessed by the Compensation Committee in its sole discretion following the end of the relevant performance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color w:val="auto"/>
          <w:highlight w:val="black"/>
        </w:rPr>
        <w:t>Benefits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3.4.1</w:t>
      </w:r>
      <w:r>
        <w:rPr>
          <w:sz w:val="20"/>
          <w:szCs w:val="20"/>
          <w:color w:val="auto"/>
        </w:rPr>
        <w:tab/>
      </w:r>
      <w:r>
        <w:rPr>
          <w:rFonts w:ascii="Arial" w:cs="Arial" w:eastAsia="Arial" w:hAnsi="Arial"/>
          <w:sz w:val="17"/>
          <w:szCs w:val="17"/>
          <w:color w:val="auto"/>
        </w:rPr>
        <w:t>The Company shall make available to the Executive a mobile phone and shall bear all ordinary and reasonable expenses in relation thereto.</w:t>
      </w:r>
    </w:p>
    <w:p>
      <w:pPr>
        <w:spacing w:after="0" w:line="185" w:lineRule="exact"/>
        <w:rPr>
          <w:sz w:val="20"/>
          <w:szCs w:val="20"/>
          <w:color w:val="auto"/>
        </w:rPr>
      </w:pPr>
    </w:p>
    <w:p>
      <w:pPr>
        <w:ind w:left="720" w:right="40" w:hanging="884"/>
        <w:spacing w:after="0" w:line="234" w:lineRule="auto"/>
        <w:tabs>
          <w:tab w:leader="none" w:pos="700" w:val="left"/>
        </w:tabs>
        <w:rPr>
          <w:sz w:val="20"/>
          <w:szCs w:val="20"/>
          <w:color w:val="auto"/>
        </w:rPr>
      </w:pPr>
      <w:r>
        <w:rPr>
          <w:rFonts w:ascii="Arial" w:cs="Arial" w:eastAsia="Arial" w:hAnsi="Arial"/>
          <w:sz w:val="17"/>
          <w:szCs w:val="17"/>
          <w:color w:val="auto"/>
        </w:rPr>
        <w:t>3.4.2</w:t>
      </w:r>
      <w:r>
        <w:rPr>
          <w:sz w:val="20"/>
          <w:szCs w:val="20"/>
          <w:color w:val="auto"/>
        </w:rPr>
        <w:tab/>
      </w:r>
      <w:r>
        <w:rPr>
          <w:rFonts w:ascii="Arial" w:cs="Arial" w:eastAsia="Arial" w:hAnsi="Arial"/>
          <w:sz w:val="17"/>
          <w:szCs w:val="17"/>
          <w:color w:val="auto"/>
        </w:rPr>
        <w:t>The Company shall bear all ordinary and reasonable expenses relating to the establishment and use of an internet connection at the Executive's residence.</w:t>
      </w:r>
    </w:p>
    <w:p>
      <w:pPr>
        <w:spacing w:after="0" w:line="199"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3.4.3</w:t>
      </w:r>
      <w:r>
        <w:rPr>
          <w:sz w:val="20"/>
          <w:szCs w:val="20"/>
          <w:color w:val="auto"/>
        </w:rPr>
        <w:tab/>
      </w:r>
      <w:r>
        <w:rPr>
          <w:rFonts w:ascii="Arial" w:cs="Arial" w:eastAsia="Arial" w:hAnsi="Arial"/>
          <w:sz w:val="17"/>
          <w:szCs w:val="17"/>
          <w:color w:val="auto"/>
        </w:rPr>
        <w:t>Unless the Company determines otherwise, the Executive's entitlements pursuant to Clauses 3.4.1 – 3.4.2 shall cease with effect from the date on which the Executive is released from his duties. In such event, the Executive shall immediately return the mobile phone to the Company. In lieu thereof, the Executive shall receive compensation corresponding to the taxable value of the mobile phone entitlement for the remainder of the notice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color w:val="auto"/>
          <w:highlight w:val="black"/>
        </w:rPr>
        <w:t>Annual Equity Award</w:t>
      </w:r>
    </w:p>
    <w:p>
      <w:pPr>
        <w:spacing w:after="0" w:line="185" w:lineRule="exact"/>
        <w:rPr>
          <w:sz w:val="20"/>
          <w:szCs w:val="20"/>
          <w:color w:val="auto"/>
        </w:rPr>
      </w:pPr>
    </w:p>
    <w:p>
      <w:pPr>
        <w:jc w:val="both"/>
        <w:ind w:left="720" w:hanging="884"/>
        <w:spacing w:after="0" w:line="256" w:lineRule="auto"/>
        <w:tabs>
          <w:tab w:leader="none" w:pos="700" w:val="left"/>
        </w:tabs>
        <w:rPr>
          <w:sz w:val="20"/>
          <w:szCs w:val="20"/>
          <w:color w:val="auto"/>
        </w:rPr>
      </w:pPr>
      <w:r>
        <w:rPr>
          <w:rFonts w:ascii="Arial" w:cs="Arial" w:eastAsia="Arial" w:hAnsi="Arial"/>
          <w:sz w:val="17"/>
          <w:szCs w:val="17"/>
          <w:color w:val="auto"/>
        </w:rPr>
        <w:t>3.5.1</w:t>
      </w:r>
      <w:r>
        <w:rPr>
          <w:sz w:val="20"/>
          <w:szCs w:val="20"/>
          <w:color w:val="auto"/>
        </w:rPr>
        <w:tab/>
      </w:r>
      <w:r>
        <w:rPr>
          <w:rFonts w:ascii="Arial" w:cs="Arial" w:eastAsia="Arial" w:hAnsi="Arial"/>
          <w:sz w:val="17"/>
          <w:szCs w:val="17"/>
          <w:color w:val="auto"/>
        </w:rPr>
        <w:t>Commencing on the Effective Date, the Executive shall receive an annual equity award, subject to the terms and conditions of (i) the Gogo Inc. 2024 Omnibus Incentive Plan (as amended from time to time, or any successor equity plan) (the "Plan") and (ii) an equity agreement thereunder, and to be approved by the Board of Directors of Parent Company or the Compensation Committee and separately provided to the Executive. Each annual equity award shall have a value determined by the Compensation Committee based on market practice and shall vest in equal annual instalments over the four-year period following the date of grant.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3.6  Travelling, Representation, and Professional Training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40" w:hanging="884"/>
        <w:spacing w:after="0" w:line="234" w:lineRule="auto"/>
        <w:tabs>
          <w:tab w:leader="none" w:pos="700" w:val="left"/>
        </w:tabs>
        <w:rPr>
          <w:sz w:val="20"/>
          <w:szCs w:val="20"/>
          <w:color w:val="auto"/>
        </w:rPr>
      </w:pPr>
      <w:r>
        <w:rPr>
          <w:rFonts w:ascii="Arial" w:cs="Arial" w:eastAsia="Arial" w:hAnsi="Arial"/>
          <w:sz w:val="17"/>
          <w:szCs w:val="17"/>
          <w:color w:val="auto"/>
        </w:rPr>
        <w:t>3.6.1</w:t>
      </w:r>
      <w:r>
        <w:rPr>
          <w:sz w:val="20"/>
          <w:szCs w:val="20"/>
          <w:color w:val="auto"/>
        </w:rPr>
        <w:tab/>
      </w:r>
      <w:r>
        <w:rPr>
          <w:rFonts w:ascii="Arial" w:cs="Arial" w:eastAsia="Arial" w:hAnsi="Arial"/>
          <w:sz w:val="17"/>
          <w:szCs w:val="17"/>
          <w:color w:val="auto"/>
        </w:rPr>
        <w:t>Against due documentation, the Company reimburses the Executive's ordinary and reasonable travelling and representation expenses incurred in the interest of the Company.</w:t>
      </w:r>
    </w:p>
    <w:p>
      <w:pPr>
        <w:spacing w:after="0" w:line="199" w:lineRule="exact"/>
        <w:rPr>
          <w:sz w:val="20"/>
          <w:szCs w:val="20"/>
          <w:color w:val="auto"/>
        </w:rPr>
      </w:pPr>
    </w:p>
    <w:p>
      <w:pPr>
        <w:jc w:val="both"/>
        <w:ind w:left="720" w:right="20" w:hanging="884"/>
        <w:spacing w:after="0" w:line="247" w:lineRule="auto"/>
        <w:tabs>
          <w:tab w:leader="none" w:pos="700" w:val="left"/>
        </w:tabs>
        <w:rPr>
          <w:sz w:val="20"/>
          <w:szCs w:val="20"/>
          <w:color w:val="auto"/>
        </w:rPr>
      </w:pPr>
      <w:r>
        <w:rPr>
          <w:rFonts w:ascii="Arial" w:cs="Arial" w:eastAsia="Arial" w:hAnsi="Arial"/>
          <w:sz w:val="17"/>
          <w:szCs w:val="17"/>
          <w:color w:val="auto"/>
        </w:rPr>
        <w:t>3.6.2</w:t>
      </w:r>
      <w:r>
        <w:rPr>
          <w:sz w:val="20"/>
          <w:szCs w:val="20"/>
          <w:color w:val="auto"/>
        </w:rPr>
        <w:tab/>
      </w:r>
      <w:r>
        <w:rPr>
          <w:rFonts w:ascii="Arial" w:cs="Arial" w:eastAsia="Arial" w:hAnsi="Arial"/>
          <w:sz w:val="17"/>
          <w:szCs w:val="17"/>
          <w:color w:val="auto"/>
        </w:rPr>
        <w:t>The Executive must on a regular basis keep up to date with his professional skills and participate in any professional training and competency development, which the Company may find necessary for the position. In each particular case, the Executive's participation in professional training and competency development is subject to prior agreement with the Chief Executive Officer of Gogo Group.</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color w:val="auto"/>
          <w:highlight w:val="black"/>
        </w:rPr>
        <w:t>Tax Consequences</w:t>
      </w:r>
    </w:p>
    <w:p>
      <w:pPr>
        <w:spacing w:after="0" w:line="199"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3.7.1</w:t>
      </w:r>
      <w:r>
        <w:rPr>
          <w:sz w:val="20"/>
          <w:szCs w:val="20"/>
          <w:color w:val="auto"/>
        </w:rPr>
        <w:tab/>
      </w:r>
      <w:r>
        <w:rPr>
          <w:rFonts w:ascii="Arial" w:cs="Arial" w:eastAsia="Arial" w:hAnsi="Arial"/>
          <w:sz w:val="17"/>
          <w:szCs w:val="17"/>
          <w:color w:val="auto"/>
        </w:rPr>
        <w:t>Any tax-related consequences for the Executive arising from his financial rights under this Contract shall be for the Executive's own account and are of no concern to the Company. Notwithstanding the foregoing, the Company shall, at its own expense, provide the Executive with the services of a professional tax advisor mutually agreed upon by the Company and Executive for the purpose of preparing and submitting the Executive’s annual tax returns during the term of the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801495" cy="1123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801495" cy="112395"/>
                    </a:xfrm>
                    <a:prstGeom prst="rect">
                      <a:avLst/>
                    </a:prstGeom>
                    <a:noFill/>
                  </pic:spPr>
                </pic:pic>
              </a:graphicData>
            </a:graphic>
          </wp:anchor>
        </w:drawing>
      </w:r>
    </w:p>
    <w:p>
      <w:pPr>
        <w:spacing w:after="0" w:line="168" w:lineRule="exact"/>
        <w:rPr>
          <w:sz w:val="20"/>
          <w:szCs w:val="20"/>
          <w:color w:val="auto"/>
        </w:rPr>
      </w:pPr>
    </w:p>
    <w:p>
      <w:pPr>
        <w:ind w:right="8440" w:firstLine="8"/>
        <w:spacing w:after="0" w:line="394" w:lineRule="auto"/>
        <w:tabs>
          <w:tab w:leader="none" w:pos="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HOLIDAY AND OTHER ABSENCE 4.1 </w:t>
      </w:r>
      <w:r>
        <w:rPr>
          <w:rFonts w:ascii="Arial" w:cs="Arial" w:eastAsia="Arial" w:hAnsi="Arial"/>
          <w:sz w:val="17"/>
          <w:szCs w:val="17"/>
          <w:color w:val="auto"/>
          <w:highlight w:val="black"/>
        </w:rPr>
        <w:t>Holiday</w:t>
      </w:r>
    </w:p>
    <w:p>
      <w:pPr>
        <w:spacing w:after="0" w:line="4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4.1.1The Executive is entitled to annual paid holiday in accordance with the Danish Holiday Act applicable from time to time.</w:t>
      </w:r>
    </w:p>
    <w:p>
      <w:pPr>
        <w:spacing w:after="0" w:line="16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4.2  Additional Holiday Entitlements</w:t>
      </w:r>
    </w:p>
    <w:p>
      <w:pPr>
        <w:spacing w:after="0" w:line="15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4.2.1In each holiday year, the Executive is entitled to five additional days of paid holiday ("feriefridage").</w:t>
      </w:r>
    </w:p>
    <w:p>
      <w:pPr>
        <w:spacing w:after="0" w:line="199" w:lineRule="exact"/>
        <w:rPr>
          <w:sz w:val="20"/>
          <w:szCs w:val="20"/>
          <w:color w:val="auto"/>
        </w:rPr>
      </w:pPr>
    </w:p>
    <w:p>
      <w:pPr>
        <w:jc w:val="both"/>
        <w:ind w:left="720" w:right="20" w:hanging="884"/>
        <w:spacing w:after="0" w:line="247" w:lineRule="auto"/>
        <w:tabs>
          <w:tab w:leader="none" w:pos="700" w:val="left"/>
        </w:tabs>
        <w:rPr>
          <w:sz w:val="20"/>
          <w:szCs w:val="20"/>
          <w:color w:val="auto"/>
        </w:rPr>
      </w:pPr>
      <w:r>
        <w:rPr>
          <w:rFonts w:ascii="Arial" w:cs="Arial" w:eastAsia="Arial" w:hAnsi="Arial"/>
          <w:sz w:val="17"/>
          <w:szCs w:val="17"/>
          <w:color w:val="auto"/>
        </w:rPr>
        <w:t>4.2.2</w:t>
      </w:r>
      <w:r>
        <w:rPr>
          <w:sz w:val="20"/>
          <w:szCs w:val="20"/>
          <w:color w:val="auto"/>
        </w:rPr>
        <w:tab/>
      </w:r>
      <w:r>
        <w:rPr>
          <w:rFonts w:ascii="Arial" w:cs="Arial" w:eastAsia="Arial" w:hAnsi="Arial"/>
          <w:sz w:val="17"/>
          <w:szCs w:val="17"/>
          <w:color w:val="auto"/>
        </w:rPr>
        <w:t>The additional holiday entitlements ("feriefridage") are accrued on a proportional basis during the holiday year and shall be taken in the corresponding holiday-taking period. Additional holiday entitlements can be transferred to the following holiday year. Upon termination of employment, any accrued but unused additional holiday entitlements shall lapse without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color w:val="auto"/>
          <w:highlight w:val="black"/>
        </w:rPr>
        <w:t>Other Days Off</w:t>
      </w:r>
    </w:p>
    <w:p>
      <w:pPr>
        <w:spacing w:after="0" w:line="15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4.3.1</w:t>
      </w:r>
      <w:r>
        <w:rPr>
          <w:sz w:val="20"/>
          <w:szCs w:val="20"/>
          <w:color w:val="auto"/>
        </w:rPr>
        <w:tab/>
      </w:r>
      <w:r>
        <w:rPr>
          <w:rFonts w:ascii="Arial" w:cs="Arial" w:eastAsia="Arial" w:hAnsi="Arial"/>
          <w:sz w:val="17"/>
          <w:szCs w:val="17"/>
          <w:color w:val="auto"/>
        </w:rPr>
        <w:t>The Executive is entitled to absence with pay in the following situations:</w:t>
      </w:r>
    </w:p>
    <w:p>
      <w:pPr>
        <w:spacing w:after="0" w:line="169" w:lineRule="exact"/>
        <w:rPr>
          <w:sz w:val="20"/>
          <w:szCs w:val="20"/>
          <w:color w:val="auto"/>
        </w:rPr>
      </w:pPr>
    </w:p>
    <w:p>
      <w:pPr>
        <w:ind w:left="1260" w:hanging="367"/>
        <w:spacing w:after="0"/>
        <w:tabs>
          <w:tab w:leader="none" w:pos="1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removal, wedding, funeral of closest relatives, examination days, etc.;</w:t>
      </w:r>
    </w:p>
    <w:p>
      <w:pPr>
        <w:spacing w:after="0" w:line="88" w:lineRule="exact"/>
        <w:rPr>
          <w:sz w:val="20"/>
          <w:szCs w:val="20"/>
          <w:color w:val="auto"/>
        </w:rPr>
      </w:pPr>
    </w:p>
    <w:p>
      <w:pPr>
        <w:ind w:left="1260" w:hanging="367"/>
        <w:spacing w:after="0"/>
        <w:tabs>
          <w:tab w:leader="none" w:pos="1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first day of illness of children under the age of fifteen living at home; and</w:t>
      </w:r>
    </w:p>
    <w:p>
      <w:pPr>
        <w:spacing w:after="0" w:line="131" w:lineRule="exact"/>
        <w:rPr>
          <w:sz w:val="20"/>
          <w:szCs w:val="20"/>
          <w:color w:val="auto"/>
        </w:rPr>
      </w:pPr>
    </w:p>
    <w:p>
      <w:pPr>
        <w:ind w:right="800" w:firstLine="893"/>
        <w:spacing w:after="0" w:line="394" w:lineRule="auto"/>
        <w:tabs>
          <w:tab w:leader="none" w:pos="12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own periodic consultations of dentist and doctor to the extent such consultations cannot take place during off-duty hours. 4.4 Scheduling of Holiday and other Periods of Absence</w:t>
      </w:r>
    </w:p>
    <w:p>
      <w:pPr>
        <w:spacing w:after="0" w:line="74" w:lineRule="exact"/>
        <w:rPr>
          <w:sz w:val="20"/>
          <w:szCs w:val="20"/>
          <w:color w:val="auto"/>
        </w:rPr>
      </w:pPr>
    </w:p>
    <w:p>
      <w:pPr>
        <w:ind w:left="720" w:hanging="884"/>
        <w:spacing w:after="0" w:line="234" w:lineRule="auto"/>
        <w:tabs>
          <w:tab w:leader="none" w:pos="700" w:val="left"/>
        </w:tabs>
        <w:rPr>
          <w:sz w:val="20"/>
          <w:szCs w:val="20"/>
          <w:color w:val="auto"/>
        </w:rPr>
      </w:pPr>
      <w:r>
        <w:rPr>
          <w:rFonts w:ascii="Arial" w:cs="Arial" w:eastAsia="Arial" w:hAnsi="Arial"/>
          <w:sz w:val="17"/>
          <w:szCs w:val="17"/>
          <w:color w:val="auto"/>
        </w:rPr>
        <w:t>4.4.1</w:t>
      </w:r>
      <w:r>
        <w:rPr>
          <w:sz w:val="20"/>
          <w:szCs w:val="20"/>
          <w:color w:val="auto"/>
        </w:rPr>
        <w:tab/>
      </w:r>
      <w:r>
        <w:rPr>
          <w:rFonts w:ascii="Arial" w:cs="Arial" w:eastAsia="Arial" w:hAnsi="Arial"/>
          <w:sz w:val="17"/>
          <w:szCs w:val="17"/>
          <w:color w:val="auto"/>
        </w:rPr>
        <w:t>Holiday and other periods of absence shall in each case be scheduled according to prior agreement with the Chief Executive Officer of Gogo Group.</w:t>
      </w:r>
    </w:p>
    <w:p>
      <w:pPr>
        <w:spacing w:after="0" w:line="199" w:lineRule="exact"/>
        <w:rPr>
          <w:sz w:val="20"/>
          <w:szCs w:val="20"/>
          <w:color w:val="auto"/>
        </w:rPr>
      </w:pPr>
    </w:p>
    <w:p>
      <w:pPr>
        <w:ind w:right="8380" w:firstLine="8"/>
        <w:spacing w:after="0" w:line="479" w:lineRule="auto"/>
        <w:tabs>
          <w:tab w:leader="none" w:pos="360" w:val="left"/>
        </w:tabs>
        <w:numPr>
          <w:ilvl w:val="0"/>
          <w:numId w:val="44"/>
        </w:numPr>
        <w:rPr>
          <w:rFonts w:ascii="Arial" w:cs="Arial" w:eastAsia="Arial" w:hAnsi="Arial"/>
          <w:sz w:val="15"/>
          <w:szCs w:val="15"/>
          <w:color w:val="auto"/>
          <w:highlight w:val="black"/>
        </w:rPr>
      </w:pPr>
      <w:r>
        <w:rPr>
          <w:rFonts w:ascii="Arial" w:cs="Arial" w:eastAsia="Arial" w:hAnsi="Arial"/>
          <w:sz w:val="15"/>
          <w:szCs w:val="15"/>
          <w:color w:val="auto"/>
          <w:highlight w:val="black"/>
        </w:rPr>
        <w:t xml:space="preserve">TERMINATION OF EMPLOYMENT </w:t>
      </w:r>
      <w:r>
        <w:rPr>
          <w:rFonts w:ascii="Arial" w:cs="Arial" w:eastAsia="Arial" w:hAnsi="Arial"/>
          <w:sz w:val="15"/>
          <w:szCs w:val="15"/>
          <w:color w:val="auto"/>
        </w:rPr>
        <w:t xml:space="preserve">5.1 </w:t>
      </w:r>
      <w:r>
        <w:rPr>
          <w:rFonts w:ascii="Arial" w:cs="Arial" w:eastAsia="Arial" w:hAnsi="Arial"/>
          <w:sz w:val="15"/>
          <w:szCs w:val="15"/>
          <w:color w:val="auto"/>
          <w:highlight w:val="black"/>
        </w:rPr>
        <w:t>Notice of Termination</w:t>
      </w:r>
    </w:p>
    <w:p>
      <w:pPr>
        <w:spacing w:after="0" w:line="27"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7"/>
          <w:szCs w:val="17"/>
          <w:color w:val="auto"/>
        </w:rPr>
        <w:t>The employment relationship can be terminated by both Parties with the terms of notice stipulated in the Danish Salaried Employees Act. Notwithstanding the foregoing, the Parties agree that the Company shall, with effect from the Effective Date, observe a notice period of six months.</w:t>
      </w:r>
    </w:p>
    <w:p>
      <w:pPr>
        <w:spacing w:after="0" w:line="179" w:lineRule="exact"/>
        <w:rPr>
          <w:sz w:val="20"/>
          <w:szCs w:val="20"/>
          <w:color w:val="auto"/>
        </w:rPr>
      </w:pPr>
    </w:p>
    <w:p>
      <w:pPr>
        <w:jc w:val="both"/>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7"/>
          <w:szCs w:val="17"/>
          <w:color w:val="auto"/>
        </w:rPr>
        <w:t>If within a period of 12 consecutive months, the Executive has received salary during absence due to illness for a total of 120 days, the Company may terminate the employment with one (1) month's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spacing w:after="0" w:line="234" w:lineRule="auto"/>
        <w:rPr>
          <w:sz w:val="20"/>
          <w:szCs w:val="20"/>
          <w:color w:val="auto"/>
        </w:rPr>
      </w:pPr>
      <w:r>
        <w:rPr>
          <w:rFonts w:ascii="Arial" w:cs="Arial" w:eastAsia="Arial" w:hAnsi="Arial"/>
          <w:sz w:val="17"/>
          <w:szCs w:val="17"/>
          <w:color w:val="auto"/>
        </w:rPr>
        <w:t>notice to take effect at the end of a month, provided the dismissal is made immediately upon expiry of the 120-day period of illness and while the Executive is still ill, see Section 5 (2) of the Danish Salaried Employees Act.</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5.1.3</w:t>
      </w:r>
      <w:r>
        <w:rPr>
          <w:sz w:val="20"/>
          <w:szCs w:val="20"/>
          <w:color w:val="auto"/>
        </w:rPr>
        <w:tab/>
      </w:r>
      <w:r>
        <w:rPr>
          <w:rFonts w:ascii="Arial" w:cs="Arial" w:eastAsia="Arial" w:hAnsi="Arial"/>
          <w:sz w:val="17"/>
          <w:szCs w:val="17"/>
          <w:color w:val="auto"/>
        </w:rPr>
        <w:t>If the employment relationship is terminated by the Company (i) without the Executive having provided just cause for the termination, or</w:t>
      </w:r>
    </w:p>
    <w:p>
      <w:pPr>
        <w:spacing w:after="0" w:line="50" w:lineRule="exact"/>
        <w:rPr>
          <w:sz w:val="20"/>
          <w:szCs w:val="20"/>
          <w:color w:val="auto"/>
        </w:rPr>
      </w:pPr>
    </w:p>
    <w:p>
      <w:pPr>
        <w:jc w:val="both"/>
        <w:ind w:left="900" w:hanging="7"/>
        <w:spacing w:after="0" w:line="257" w:lineRule="auto"/>
        <w:tabs>
          <w:tab w:leader="none" w:pos="1187"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due to the Executive's death, or (iii) if the Executive resigns for Good Reason as defined in Clause 5.14, the Executive shall be entitled to a severance allowance equivalent to six months' Base Salary (the "</w:t>
      </w:r>
      <w:r>
        <w:rPr>
          <w:rFonts w:ascii="Arial" w:cs="Arial" w:eastAsia="Arial" w:hAnsi="Arial"/>
          <w:sz w:val="17"/>
          <w:szCs w:val="17"/>
          <w:color w:val="auto"/>
          <w:highlight w:val="black"/>
        </w:rPr>
        <w:t>Severance Pay</w:t>
      </w:r>
      <w:r>
        <w:rPr>
          <w:rFonts w:ascii="Arial" w:cs="Arial" w:eastAsia="Arial" w:hAnsi="Arial"/>
          <w:sz w:val="17"/>
          <w:szCs w:val="17"/>
          <w:color w:val="auto"/>
        </w:rPr>
        <w:t>"), payable upon cessation of employment. Notwithstanding the above, payment of the Severance Pay is conditional upon the Executive executing a separation agreement containing a general release of all claims against the Company and the Gogo Group, in a form provided by the Company. The Severance Pay shall be deemed to include any statutory severance pay under section 2b (but not section 2a) of the Danish Salaried Employees' Act, as well as any compensation to dependents under section 8 of that Act.</w:t>
      </w:r>
    </w:p>
    <w:p>
      <w:pPr>
        <w:spacing w:after="0" w:line="175" w:lineRule="exact"/>
        <w:rPr>
          <w:sz w:val="20"/>
          <w:szCs w:val="20"/>
          <w:color w:val="auto"/>
        </w:rPr>
      </w:pPr>
    </w:p>
    <w:p>
      <w:pPr>
        <w:jc w:val="both"/>
        <w:ind w:left="720" w:hanging="884"/>
        <w:spacing w:after="0" w:line="261" w:lineRule="auto"/>
        <w:tabs>
          <w:tab w:leader="none" w:pos="700" w:val="left"/>
        </w:tabs>
        <w:rPr>
          <w:sz w:val="20"/>
          <w:szCs w:val="20"/>
          <w:color w:val="auto"/>
        </w:rPr>
      </w:pPr>
      <w:r>
        <w:rPr>
          <w:rFonts w:ascii="Arial" w:cs="Arial" w:eastAsia="Arial" w:hAnsi="Arial"/>
          <w:sz w:val="17"/>
          <w:szCs w:val="17"/>
          <w:color w:val="auto"/>
        </w:rPr>
        <w:t>5.1.4</w:t>
      </w:r>
      <w:r>
        <w:rPr>
          <w:sz w:val="20"/>
          <w:szCs w:val="20"/>
          <w:color w:val="auto"/>
        </w:rPr>
        <w:tab/>
      </w:r>
      <w:r>
        <w:rPr>
          <w:rFonts w:ascii="Arial" w:cs="Arial" w:eastAsia="Arial" w:hAnsi="Arial"/>
          <w:sz w:val="17"/>
          <w:szCs w:val="17"/>
          <w:color w:val="auto"/>
        </w:rPr>
        <w:t>“Good Reason” shall mean the occurrence of any of the following without Executive's consent at any time following the Effective Date (i) a material reduction by the Company in Executive's Base Salary or bonus set out in Section 3.3; (ii) (A) a material diminution of Executive's duties, authority or responsibilities such that such duties, authority and responsibilities, when viewed in the aggregate, are not at least commensurate with those duties, authority and responsibilities normally associated with and appropriate to Executive's position, or (B) Executive ceasing to be a direct report to the Chief Executive Officer; (iii) the relocation of Executive's Principal Place of Employment to a geographic location more than fifty (50) miles from the Executive's then Principal Place of Employment; or (iv) any material breach by the Company of its obligations to Executive under this Agreement, the Change in Control Severance Agreement between Executive and Parent Company, dated September 1, 2026, the Retention Bonus Agreement between Parent Company and Executive, dated November 13, 2024, the Addendum to the Retention Bonus Agreement, among Parent Company, Gogo Business Aviation LLC, Company and Executive, dated September 1, 2026, the Inducement Award Agreement between Parent Company and Executive dated on or about November 13, 2024, or any future equity award agreements between Executive and Parent.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color w:val="auto"/>
          <w:highlight w:val="black"/>
        </w:rPr>
        <w:t>Breach of Contract</w:t>
      </w:r>
    </w:p>
    <w:p>
      <w:pPr>
        <w:spacing w:after="0" w:line="199" w:lineRule="exact"/>
        <w:rPr>
          <w:sz w:val="20"/>
          <w:szCs w:val="20"/>
          <w:color w:val="auto"/>
        </w:rPr>
      </w:pPr>
    </w:p>
    <w:p>
      <w:pPr>
        <w:jc w:val="both"/>
        <w:ind w:left="720" w:right="20" w:hanging="884"/>
        <w:spacing w:after="0" w:line="247" w:lineRule="auto"/>
        <w:tabs>
          <w:tab w:leader="none" w:pos="700" w:val="left"/>
        </w:tabs>
        <w:rPr>
          <w:sz w:val="20"/>
          <w:szCs w:val="20"/>
          <w:color w:val="auto"/>
        </w:rPr>
      </w:pPr>
      <w:r>
        <w:rPr>
          <w:rFonts w:ascii="Arial" w:cs="Arial" w:eastAsia="Arial" w:hAnsi="Arial"/>
          <w:sz w:val="17"/>
          <w:szCs w:val="17"/>
          <w:color w:val="auto"/>
        </w:rPr>
        <w:t>5.2.1</w:t>
      </w:r>
      <w:r>
        <w:rPr>
          <w:sz w:val="20"/>
          <w:szCs w:val="20"/>
          <w:color w:val="auto"/>
        </w:rPr>
        <w:tab/>
      </w:r>
      <w:r>
        <w:rPr>
          <w:rFonts w:ascii="Arial" w:cs="Arial" w:eastAsia="Arial" w:hAnsi="Arial"/>
          <w:sz w:val="17"/>
          <w:szCs w:val="17"/>
          <w:color w:val="auto"/>
        </w:rPr>
        <w:t>If the Company or the Executive commits a material breach of the obligations stipulated in the Contract or the preconditions on basis of which the Contract has been concluded, the other Party may terminate the Contract without further notice. The Party neglecting to fulfil the obligations set forth in the Contract must indemnify the other Party for any loss suffered in this respect.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5.3  Return of Objects, Material etc.</w:t>
      </w:r>
    </w:p>
    <w:p>
      <w:pPr>
        <w:spacing w:after="0" w:line="199"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5.3.1</w:t>
      </w:r>
      <w:r>
        <w:rPr>
          <w:sz w:val="20"/>
          <w:szCs w:val="20"/>
          <w:color w:val="auto"/>
        </w:rPr>
        <w:tab/>
      </w:r>
      <w:r>
        <w:rPr>
          <w:rFonts w:ascii="Arial" w:cs="Arial" w:eastAsia="Arial" w:hAnsi="Arial"/>
          <w:sz w:val="17"/>
          <w:szCs w:val="17"/>
          <w:color w:val="auto"/>
        </w:rPr>
        <w:t>When actually leaving his position, irrespective of the reason for the termination, the Executive must immediately return all objects, material, information, etc. that belong to the Company, including documents, correspondence, reports, records, emails, files, computer programmes, and customer lists.</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5.3.2</w:t>
      </w:r>
      <w:r>
        <w:rPr>
          <w:sz w:val="20"/>
          <w:szCs w:val="20"/>
          <w:color w:val="auto"/>
        </w:rPr>
        <w:tab/>
      </w:r>
      <w:r>
        <w:rPr>
          <w:rFonts w:ascii="Arial" w:cs="Arial" w:eastAsia="Arial" w:hAnsi="Arial"/>
          <w:sz w:val="17"/>
          <w:szCs w:val="17"/>
          <w:color w:val="auto"/>
        </w:rPr>
        <w:t>The Executive may not exercise any right of retention on the objects, material, information, etc. that belong to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5.4  Updating of references on social media</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5.4.1</w:t>
      </w:r>
      <w:r>
        <w:rPr>
          <w:sz w:val="20"/>
          <w:szCs w:val="20"/>
          <w:color w:val="auto"/>
        </w:rPr>
        <w:tab/>
      </w:r>
      <w:r>
        <w:rPr>
          <w:rFonts w:ascii="Arial" w:cs="Arial" w:eastAsia="Arial" w:hAnsi="Arial"/>
          <w:sz w:val="17"/>
          <w:szCs w:val="17"/>
          <w:color w:val="auto"/>
        </w:rPr>
        <w:t>No later than at the expiry of the employment relationship, the Executive shall be obliged to update any profiles on social media, e.g.</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LinkedIn and Facebook, to the effect that the Company will no longer appear as the Executive's current employer.</w:t>
      </w:r>
    </w:p>
    <w:p>
      <w:pPr>
        <w:spacing w:after="0" w:line="199" w:lineRule="exact"/>
        <w:rPr>
          <w:sz w:val="20"/>
          <w:szCs w:val="20"/>
          <w:color w:val="auto"/>
        </w:rPr>
      </w:pPr>
    </w:p>
    <w:p>
      <w:pPr>
        <w:ind w:right="5280" w:firstLine="8"/>
        <w:spacing w:after="0" w:line="394" w:lineRule="auto"/>
        <w:tabs>
          <w:tab w:leader="none" w:pos="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EXECUTIVE'S OBLIGATIONS AFTER TERMINATION OF EMPLOYMENT 6.1 Non-Competition Clause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6.1.1</w:t>
      </w:r>
      <w:r>
        <w:rPr>
          <w:sz w:val="20"/>
          <w:szCs w:val="20"/>
          <w:color w:val="auto"/>
        </w:rPr>
        <w:tab/>
      </w:r>
      <w:r>
        <w:rPr>
          <w:rFonts w:ascii="Arial" w:cs="Arial" w:eastAsia="Arial" w:hAnsi="Arial"/>
          <w:sz w:val="17"/>
          <w:szCs w:val="17"/>
          <w:color w:val="auto"/>
        </w:rPr>
        <w:t>The Parties agree that the Executive will hold a position of very special trust in that the Executive has access to confidential information, including financial records, supplier agreements, customer records, discount schemes and price agreements; has knowledge that may be misused to the detriment of the Company and that must be regarded as a crucial part of the Company's business concept; and holds a managerial position.</w:t>
      </w:r>
    </w:p>
    <w:p>
      <w:pPr>
        <w:spacing w:after="0" w:line="15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6.1.2</w:t>
      </w:r>
      <w:r>
        <w:rPr>
          <w:sz w:val="20"/>
          <w:szCs w:val="20"/>
          <w:color w:val="auto"/>
        </w:rPr>
        <w:tab/>
      </w:r>
      <w:r>
        <w:rPr>
          <w:rFonts w:ascii="Arial" w:cs="Arial" w:eastAsia="Arial" w:hAnsi="Arial"/>
          <w:sz w:val="17"/>
          <w:szCs w:val="17"/>
          <w:color w:val="auto"/>
        </w:rPr>
        <w:t>The Parties agree that the Non-Competition Clause under this provision shall become effective after six (6) months of employment.</w:t>
      </w:r>
    </w:p>
    <w:p>
      <w:pPr>
        <w:spacing w:after="0" w:line="185" w:lineRule="exact"/>
        <w:rPr>
          <w:sz w:val="20"/>
          <w:szCs w:val="20"/>
          <w:color w:val="auto"/>
        </w:rPr>
      </w:pPr>
    </w:p>
    <w:p>
      <w:pPr>
        <w:jc w:val="both"/>
        <w:ind w:left="720" w:hanging="884"/>
        <w:spacing w:after="0" w:line="256" w:lineRule="auto"/>
        <w:tabs>
          <w:tab w:leader="none" w:pos="700" w:val="left"/>
        </w:tabs>
        <w:rPr>
          <w:sz w:val="20"/>
          <w:szCs w:val="20"/>
          <w:color w:val="auto"/>
        </w:rPr>
      </w:pPr>
      <w:r>
        <w:rPr>
          <w:rFonts w:ascii="Arial" w:cs="Arial" w:eastAsia="Arial" w:hAnsi="Arial"/>
          <w:sz w:val="17"/>
          <w:szCs w:val="17"/>
          <w:color w:val="auto"/>
        </w:rPr>
        <w:t>6.1.3</w:t>
      </w:r>
      <w:r>
        <w:rPr>
          <w:sz w:val="20"/>
          <w:szCs w:val="20"/>
          <w:color w:val="auto"/>
        </w:rPr>
        <w:tab/>
      </w:r>
      <w:r>
        <w:rPr>
          <w:rFonts w:ascii="Arial" w:cs="Arial" w:eastAsia="Arial" w:hAnsi="Arial"/>
          <w:sz w:val="17"/>
          <w:szCs w:val="17"/>
          <w:color w:val="auto"/>
        </w:rPr>
        <w:t>During the term of the employment and for a period not exceeding six (6) months following termination of employment, the Executive may not - neither directly nor indirectly - establish or take a financial interest in any business that competes, wholly or partly, with the business carried out by the Company and the Company's parent company and/or subsidiary and/or affiliated companies at the relevant time. This prohibition includes, inter alia, commencement of new employment, establishment of business as well as taking on positions as board member, commissioner or consultant.</w:t>
      </w:r>
    </w:p>
    <w:p>
      <w:pPr>
        <w:spacing w:after="0" w:line="186" w:lineRule="exact"/>
        <w:rPr>
          <w:sz w:val="20"/>
          <w:szCs w:val="20"/>
          <w:color w:val="auto"/>
        </w:rPr>
      </w:pPr>
    </w:p>
    <w:p>
      <w:pPr>
        <w:jc w:val="both"/>
        <w:ind w:left="720" w:hanging="884"/>
        <w:spacing w:after="0" w:line="234" w:lineRule="auto"/>
        <w:tabs>
          <w:tab w:leader="none" w:pos="700" w:val="left"/>
        </w:tabs>
        <w:rPr>
          <w:sz w:val="20"/>
          <w:szCs w:val="20"/>
          <w:color w:val="auto"/>
        </w:rPr>
      </w:pPr>
      <w:r>
        <w:rPr>
          <w:rFonts w:ascii="Arial" w:cs="Arial" w:eastAsia="Arial" w:hAnsi="Arial"/>
          <w:sz w:val="17"/>
          <w:szCs w:val="17"/>
          <w:color w:val="auto"/>
        </w:rPr>
        <w:t>6.1.4</w:t>
      </w:r>
      <w:r>
        <w:rPr>
          <w:sz w:val="20"/>
          <w:szCs w:val="20"/>
          <w:color w:val="auto"/>
        </w:rPr>
        <w:tab/>
      </w:r>
      <w:r>
        <w:rPr>
          <w:rFonts w:ascii="Arial" w:cs="Arial" w:eastAsia="Arial" w:hAnsi="Arial"/>
          <w:sz w:val="17"/>
          <w:szCs w:val="17"/>
          <w:color w:val="auto"/>
        </w:rPr>
        <w:t>Termination of employment shall mean the date of expiry of the period of notice regardless of whether the Executive is actually leaving his position at an earlier date.</w:t>
      </w:r>
    </w:p>
    <w:p>
      <w:pPr>
        <w:spacing w:after="0" w:line="199" w:lineRule="exact"/>
        <w:rPr>
          <w:sz w:val="20"/>
          <w:szCs w:val="20"/>
          <w:color w:val="auto"/>
        </w:rPr>
      </w:pPr>
    </w:p>
    <w:p>
      <w:pPr>
        <w:jc w:val="both"/>
        <w:ind w:left="720" w:hanging="884"/>
        <w:spacing w:after="0" w:line="257" w:lineRule="auto"/>
        <w:tabs>
          <w:tab w:leader="none" w:pos="700" w:val="left"/>
        </w:tabs>
        <w:rPr>
          <w:sz w:val="20"/>
          <w:szCs w:val="20"/>
          <w:color w:val="auto"/>
        </w:rPr>
      </w:pPr>
      <w:r>
        <w:rPr>
          <w:rFonts w:ascii="Arial" w:cs="Arial" w:eastAsia="Arial" w:hAnsi="Arial"/>
          <w:sz w:val="17"/>
          <w:szCs w:val="17"/>
          <w:color w:val="auto"/>
        </w:rPr>
        <w:t>6.1.5</w:t>
      </w:r>
      <w:r>
        <w:rPr>
          <w:sz w:val="20"/>
          <w:szCs w:val="20"/>
          <w:color w:val="auto"/>
        </w:rPr>
        <w:tab/>
      </w:r>
      <w:r>
        <w:rPr>
          <w:rFonts w:ascii="Arial" w:cs="Arial" w:eastAsia="Arial" w:hAnsi="Arial"/>
          <w:sz w:val="17"/>
          <w:szCs w:val="17"/>
          <w:color w:val="auto"/>
        </w:rPr>
        <w:t>If the Executive is in breach of the Non-Competition Clause, he becomes liable to pay damages as well as an agreed penalty equivalent to 25 per cent of the Executive's annual salary, see Clause 3.1.1, applicable at the time of termination of employment. The agreed penalty is incurred and must be paid each time a breach is committed. If the breach is of an ongoing nature, the agreed penalty is incurred and must be paid for each month or part of a month. Payment of the agreed penalty does not cause the Non-Competition Clause to become invalid.</w:t>
      </w:r>
    </w:p>
    <w:p>
      <w:pPr>
        <w:spacing w:after="0" w:line="378" w:lineRule="exact"/>
        <w:rPr>
          <w:sz w:val="20"/>
          <w:szCs w:val="20"/>
          <w:color w:val="auto"/>
        </w:rPr>
      </w:pPr>
    </w:p>
    <w:p>
      <w:pPr>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6.1.6</w:t>
      </w:r>
      <w:r>
        <w:rPr>
          <w:sz w:val="20"/>
          <w:szCs w:val="20"/>
          <w:color w:val="auto"/>
        </w:rPr>
        <w:tab/>
      </w:r>
      <w:r>
        <w:rPr>
          <w:rFonts w:ascii="Arial" w:cs="Arial" w:eastAsia="Arial" w:hAnsi="Arial"/>
          <w:sz w:val="17"/>
          <w:szCs w:val="17"/>
          <w:color w:val="auto"/>
        </w:rPr>
        <w:t>The Company may seek to restrain a breach of the Non-Competition Clause by obtaining an injunction pursuant to the general rules of Danish law.</w:t>
      </w:r>
    </w:p>
    <w:p>
      <w:pPr>
        <w:spacing w:after="0" w:line="199" w:lineRule="exact"/>
        <w:rPr>
          <w:sz w:val="20"/>
          <w:szCs w:val="20"/>
          <w:color w:val="auto"/>
        </w:rPr>
      </w:pPr>
    </w:p>
    <w:p>
      <w:pPr>
        <w:jc w:val="both"/>
        <w:ind w:left="720" w:hanging="884"/>
        <w:spacing w:after="0" w:line="247" w:lineRule="auto"/>
        <w:tabs>
          <w:tab w:leader="none" w:pos="700" w:val="left"/>
        </w:tabs>
        <w:rPr>
          <w:sz w:val="20"/>
          <w:szCs w:val="20"/>
          <w:color w:val="auto"/>
        </w:rPr>
      </w:pPr>
      <w:r>
        <w:rPr>
          <w:rFonts w:ascii="Arial" w:cs="Arial" w:eastAsia="Arial" w:hAnsi="Arial"/>
          <w:sz w:val="17"/>
          <w:szCs w:val="17"/>
          <w:color w:val="auto"/>
        </w:rPr>
        <w:t>6.1.7</w:t>
      </w:r>
      <w:r>
        <w:rPr>
          <w:sz w:val="20"/>
          <w:szCs w:val="20"/>
          <w:color w:val="auto"/>
        </w:rPr>
        <w:tab/>
      </w:r>
      <w:r>
        <w:rPr>
          <w:rFonts w:ascii="Arial" w:cs="Arial" w:eastAsia="Arial" w:hAnsi="Arial"/>
          <w:sz w:val="17"/>
          <w:szCs w:val="17"/>
          <w:color w:val="auto"/>
        </w:rPr>
        <w:t>In the event that the Executive obtains new employment or becomes self-employed during the term of the Clause, the Executive is obliged to notify the Company immediately thereof. Furthermore, the Executive shall, upon the Company's request, provide evidence of his active search for other suitable employment.</w:t>
      </w:r>
    </w:p>
    <w:p>
      <w:pPr>
        <w:spacing w:after="0" w:line="193" w:lineRule="exact"/>
        <w:rPr>
          <w:sz w:val="20"/>
          <w:szCs w:val="20"/>
          <w:color w:val="auto"/>
        </w:rPr>
      </w:pPr>
    </w:p>
    <w:p>
      <w:pPr>
        <w:jc w:val="both"/>
        <w:ind w:left="720" w:hanging="884"/>
        <w:spacing w:after="0" w:line="256" w:lineRule="auto"/>
        <w:tabs>
          <w:tab w:leader="none" w:pos="700" w:val="left"/>
        </w:tabs>
        <w:rPr>
          <w:sz w:val="20"/>
          <w:szCs w:val="20"/>
          <w:color w:val="auto"/>
        </w:rPr>
      </w:pPr>
      <w:r>
        <w:rPr>
          <w:rFonts w:ascii="Arial" w:cs="Arial" w:eastAsia="Arial" w:hAnsi="Arial"/>
          <w:sz w:val="17"/>
          <w:szCs w:val="17"/>
          <w:color w:val="auto"/>
        </w:rPr>
        <w:t>6.1.8</w:t>
      </w:r>
      <w:r>
        <w:rPr>
          <w:sz w:val="20"/>
          <w:szCs w:val="20"/>
          <w:color w:val="auto"/>
        </w:rPr>
        <w:tab/>
      </w:r>
      <w:r>
        <w:rPr>
          <w:rFonts w:ascii="Arial" w:cs="Arial" w:eastAsia="Arial" w:hAnsi="Arial"/>
          <w:sz w:val="17"/>
          <w:szCs w:val="17"/>
          <w:color w:val="auto"/>
        </w:rPr>
        <w:t>The Executive may ask the Company in writing whether it would find a new activity contemplated by the Executive to be covered by the prohibition set forth in the Non-Competition Clause, and in the affirmative, whether the Company would in the given circumstances be willing to consent to the Executive commencing such activity. The Executive’s enquiry must contain all information necessary for the Company to assess the importance of the activity to the Company. The Company shall answer the enquiry within a reasonable period of time.</w:t>
      </w:r>
    </w:p>
    <w:p>
      <w:pPr>
        <w:spacing w:after="0" w:line="172" w:lineRule="exact"/>
        <w:rPr>
          <w:sz w:val="20"/>
          <w:szCs w:val="20"/>
          <w:color w:val="auto"/>
        </w:rPr>
      </w:pPr>
    </w:p>
    <w:p>
      <w:pPr>
        <w:jc w:val="both"/>
        <w:ind w:left="720" w:hanging="884"/>
        <w:spacing w:after="0" w:line="253" w:lineRule="auto"/>
        <w:tabs>
          <w:tab w:leader="none" w:pos="700" w:val="left"/>
        </w:tabs>
        <w:rPr>
          <w:sz w:val="20"/>
          <w:szCs w:val="20"/>
          <w:color w:val="auto"/>
        </w:rPr>
      </w:pPr>
      <w:r>
        <w:rPr>
          <w:rFonts w:ascii="Arial" w:cs="Arial" w:eastAsia="Arial" w:hAnsi="Arial"/>
          <w:sz w:val="17"/>
          <w:szCs w:val="17"/>
          <w:color w:val="auto"/>
        </w:rPr>
        <w:t>6.1.9</w:t>
      </w:r>
      <w:r>
        <w:rPr>
          <w:sz w:val="20"/>
          <w:szCs w:val="20"/>
          <w:color w:val="auto"/>
        </w:rPr>
        <w:tab/>
      </w:r>
      <w:r>
        <w:rPr>
          <w:rFonts w:ascii="Arial" w:cs="Arial" w:eastAsia="Arial" w:hAnsi="Arial"/>
          <w:sz w:val="17"/>
          <w:szCs w:val="17"/>
          <w:color w:val="auto"/>
        </w:rPr>
        <w:t>The Non-Competition Clause does not apply if the Company terminates the employment relationship or dismisses the Executive summarily without the Executive having provided just cause for such dismissal. Neither does the Clause apply if the Executive gives notice of termination and the Company's failure to meet its obligations has provided the Executive with just cause for such termination. In these cases, the Executive is only entitled to the Minimum Compensation, see Clause 6.3.1.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6.2  Non-Solicitation Clause</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6.2.1</w:t>
      </w:r>
      <w:r>
        <w:rPr>
          <w:sz w:val="20"/>
          <w:szCs w:val="20"/>
          <w:color w:val="auto"/>
        </w:rPr>
        <w:tab/>
      </w:r>
      <w:r>
        <w:rPr>
          <w:rFonts w:ascii="Arial" w:cs="Arial" w:eastAsia="Arial" w:hAnsi="Arial"/>
          <w:sz w:val="17"/>
          <w:szCs w:val="17"/>
          <w:color w:val="auto"/>
        </w:rPr>
        <w:t>The Parties agree that the Non-Solicitation Clause under this provision shall become effective after six (6) months of employment.</w:t>
      </w:r>
    </w:p>
    <w:p>
      <w:pPr>
        <w:spacing w:after="0" w:line="185" w:lineRule="exact"/>
        <w:rPr>
          <w:sz w:val="20"/>
          <w:szCs w:val="20"/>
          <w:color w:val="auto"/>
        </w:rPr>
      </w:pPr>
    </w:p>
    <w:p>
      <w:pPr>
        <w:jc w:val="both"/>
        <w:ind w:left="720" w:hanging="884"/>
        <w:spacing w:after="0" w:line="249" w:lineRule="auto"/>
        <w:tabs>
          <w:tab w:leader="none" w:pos="700" w:val="left"/>
        </w:tabs>
        <w:rPr>
          <w:sz w:val="20"/>
          <w:szCs w:val="20"/>
          <w:color w:val="auto"/>
        </w:rPr>
      </w:pPr>
      <w:r>
        <w:rPr>
          <w:rFonts w:ascii="Arial" w:cs="Arial" w:eastAsia="Arial" w:hAnsi="Arial"/>
          <w:sz w:val="17"/>
          <w:szCs w:val="17"/>
          <w:color w:val="auto"/>
        </w:rPr>
        <w:t>6.2.2</w:t>
      </w:r>
      <w:r>
        <w:rPr>
          <w:sz w:val="20"/>
          <w:szCs w:val="20"/>
          <w:color w:val="auto"/>
        </w:rPr>
        <w:tab/>
      </w:r>
      <w:r>
        <w:rPr>
          <w:rFonts w:ascii="Arial" w:cs="Arial" w:eastAsia="Arial" w:hAnsi="Arial"/>
          <w:sz w:val="17"/>
          <w:szCs w:val="17"/>
          <w:color w:val="auto"/>
        </w:rPr>
        <w:t>For a period of six (6) months following termination of employment, the Executive undertakes not to have any direct or indirect business relations with or be employed by customers, agents, representatives, principals, suppliers and other business connections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hanging="884"/>
        <w:spacing w:after="0" w:line="256" w:lineRule="auto"/>
        <w:tabs>
          <w:tab w:leader="none" w:pos="700" w:val="left"/>
        </w:tabs>
        <w:rPr>
          <w:sz w:val="20"/>
          <w:szCs w:val="20"/>
          <w:color w:val="auto"/>
        </w:rPr>
      </w:pPr>
      <w:r>
        <w:rPr>
          <w:rFonts w:ascii="Arial" w:cs="Arial" w:eastAsia="Arial" w:hAnsi="Arial"/>
          <w:sz w:val="17"/>
          <w:szCs w:val="17"/>
          <w:color w:val="auto"/>
        </w:rPr>
        <w:t>6.2.3</w:t>
      </w:r>
      <w:r>
        <w:rPr>
          <w:sz w:val="20"/>
          <w:szCs w:val="20"/>
          <w:color w:val="auto"/>
        </w:rPr>
        <w:tab/>
      </w:r>
      <w:r>
        <w:rPr>
          <w:rFonts w:ascii="Arial" w:cs="Arial" w:eastAsia="Arial" w:hAnsi="Arial"/>
          <w:sz w:val="17"/>
          <w:szCs w:val="17"/>
          <w:color w:val="auto"/>
        </w:rPr>
        <w:t>The Non-Solicitation Clause applies to customers etc. with whom the Executive has had business relations within the last 12 months prior to the date on which notice of termination is served. In connection with the termination of the employment relationship, the Company shall provide a list of customers etc. to be comprised by the Non-Solicitation Clause. The Non-Solicitation Clause also applies to business relations or employment with customers etc. who are not engaged in competing activities. Furthermore, the Non-Solicitation Clause shall apply irrespective of whether the contact is initiated by the Executive or by the customers etc.</w:t>
      </w:r>
    </w:p>
    <w:p>
      <w:pPr>
        <w:spacing w:after="0" w:line="15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6.2.4</w:t>
      </w:r>
      <w:r>
        <w:rPr>
          <w:sz w:val="20"/>
          <w:szCs w:val="20"/>
          <w:color w:val="auto"/>
        </w:rPr>
        <w:tab/>
      </w:r>
      <w:r>
        <w:rPr>
          <w:rFonts w:ascii="Arial" w:cs="Arial" w:eastAsia="Arial" w:hAnsi="Arial"/>
          <w:sz w:val="16"/>
          <w:szCs w:val="16"/>
          <w:color w:val="auto"/>
        </w:rPr>
        <w:t>Clauses 6.1.4 – 6.1.7 shall also apply to the Non-Solicitation Clause.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6.3  Compensation and Termination</w:t>
      </w:r>
    </w:p>
    <w:p>
      <w:pPr>
        <w:spacing w:after="0" w:line="199" w:lineRule="exact"/>
        <w:rPr>
          <w:sz w:val="20"/>
          <w:szCs w:val="20"/>
          <w:color w:val="auto"/>
        </w:rPr>
      </w:pPr>
    </w:p>
    <w:p>
      <w:pPr>
        <w:jc w:val="both"/>
        <w:ind w:left="720" w:hanging="884"/>
        <w:spacing w:after="0" w:line="256" w:lineRule="auto"/>
        <w:tabs>
          <w:tab w:leader="none" w:pos="700" w:val="left"/>
        </w:tabs>
        <w:rPr>
          <w:sz w:val="20"/>
          <w:szCs w:val="20"/>
          <w:color w:val="auto"/>
        </w:rPr>
      </w:pPr>
      <w:r>
        <w:rPr>
          <w:rFonts w:ascii="Arial" w:cs="Arial" w:eastAsia="Arial" w:hAnsi="Arial"/>
          <w:sz w:val="17"/>
          <w:szCs w:val="17"/>
          <w:color w:val="auto"/>
        </w:rPr>
        <w:t>6.3.1</w:t>
      </w:r>
      <w:r>
        <w:rPr>
          <w:sz w:val="20"/>
          <w:szCs w:val="20"/>
          <w:color w:val="auto"/>
        </w:rPr>
        <w:tab/>
      </w:r>
      <w:r>
        <w:rPr>
          <w:rFonts w:ascii="Arial" w:cs="Arial" w:eastAsia="Arial" w:hAnsi="Arial"/>
          <w:sz w:val="17"/>
          <w:szCs w:val="17"/>
          <w:color w:val="auto"/>
        </w:rPr>
        <w:t>The Executive shall receive compensation for undertaking the Non-Competition and Non-Solicitation Clauses. The compensation shall be equal to 60 per cent of the Executive 's salary applicable on termination of employment and be payable as from termination of employment until expiry of the Non-Competition and Non-Solicitation Clauses. For the first two (2) months, the compensation shall be paid out in a lump sum (the "Minimum Compensation") upon termination of employment and subsequently on a monthly basis in arrears for the remaining enforcement period of the Non-Competition and Non-Solicitation Clauses.</w:t>
      </w:r>
    </w:p>
    <w:p>
      <w:pPr>
        <w:spacing w:after="0" w:line="186" w:lineRule="exact"/>
        <w:rPr>
          <w:sz w:val="20"/>
          <w:szCs w:val="20"/>
          <w:color w:val="auto"/>
        </w:rPr>
      </w:pPr>
    </w:p>
    <w:p>
      <w:pPr>
        <w:ind w:left="720" w:right="20" w:hanging="884"/>
        <w:spacing w:after="0" w:line="234" w:lineRule="auto"/>
        <w:tabs>
          <w:tab w:leader="none" w:pos="700" w:val="left"/>
        </w:tabs>
        <w:rPr>
          <w:sz w:val="20"/>
          <w:szCs w:val="20"/>
          <w:color w:val="auto"/>
        </w:rPr>
      </w:pPr>
      <w:r>
        <w:rPr>
          <w:rFonts w:ascii="Arial" w:cs="Arial" w:eastAsia="Arial" w:hAnsi="Arial"/>
          <w:sz w:val="17"/>
          <w:szCs w:val="17"/>
          <w:color w:val="auto"/>
        </w:rPr>
        <w:t>6.3.2</w:t>
      </w:r>
      <w:r>
        <w:rPr>
          <w:sz w:val="20"/>
          <w:szCs w:val="20"/>
          <w:color w:val="auto"/>
        </w:rPr>
        <w:tab/>
      </w:r>
      <w:r>
        <w:rPr>
          <w:rFonts w:ascii="Arial" w:cs="Arial" w:eastAsia="Arial" w:hAnsi="Arial"/>
          <w:sz w:val="17"/>
          <w:szCs w:val="17"/>
          <w:color w:val="auto"/>
        </w:rPr>
        <w:t>The right to compensation shall lapse if the Company has summarily dismissed the Executive with just cause. However, the Executive 's obligations set forth under the Non-Competition and Non-Solicitation Clauses shall remain in force.</w:t>
      </w:r>
    </w:p>
    <w:p>
      <w:pPr>
        <w:spacing w:after="0" w:line="186" w:lineRule="exact"/>
        <w:rPr>
          <w:sz w:val="20"/>
          <w:szCs w:val="20"/>
          <w:color w:val="auto"/>
        </w:rPr>
      </w:pPr>
    </w:p>
    <w:p>
      <w:pPr>
        <w:jc w:val="both"/>
        <w:ind w:left="720" w:hanging="884"/>
        <w:spacing w:after="0" w:line="257" w:lineRule="auto"/>
        <w:tabs>
          <w:tab w:leader="none" w:pos="700" w:val="left"/>
        </w:tabs>
        <w:rPr>
          <w:sz w:val="20"/>
          <w:szCs w:val="20"/>
          <w:color w:val="auto"/>
        </w:rPr>
      </w:pPr>
      <w:r>
        <w:rPr>
          <w:rFonts w:ascii="Arial" w:cs="Arial" w:eastAsia="Arial" w:hAnsi="Arial"/>
          <w:sz w:val="17"/>
          <w:szCs w:val="17"/>
          <w:color w:val="auto"/>
        </w:rPr>
        <w:t>6.3.3</w:t>
      </w:r>
      <w:r>
        <w:rPr>
          <w:sz w:val="20"/>
          <w:szCs w:val="20"/>
          <w:color w:val="auto"/>
        </w:rPr>
        <w:tab/>
      </w:r>
      <w:r>
        <w:rPr>
          <w:rFonts w:ascii="Arial" w:cs="Arial" w:eastAsia="Arial" w:hAnsi="Arial"/>
          <w:sz w:val="17"/>
          <w:szCs w:val="17"/>
          <w:color w:val="auto"/>
        </w:rPr>
        <w:t>The Company may, at any time, terminate the Non-Competition and Non-Solicitation Clauses with one (1) month's notice taking effect at the end of a month. However, the Executive will be entitled to receive the Minimum Compensation upon termination of employment, provided the Executive leaves the Company after expiry of a period of three (3) months following the commencement of the employment relationship and before expiry of a period of six (6) months following the Company's termination of the Non-Competition and Non-Solicitation Clauses, and provided the termination of employment is due to circumstances that would have entitled the Company to enforce the Non-Competition Clause and/or the Non-Solicitation Clause.</w:t>
      </w:r>
    </w:p>
    <w:p>
      <w:pPr>
        <w:spacing w:after="0" w:line="189" w:lineRule="exact"/>
        <w:rPr>
          <w:sz w:val="20"/>
          <w:szCs w:val="20"/>
          <w:color w:val="auto"/>
        </w:rPr>
      </w:pPr>
    </w:p>
    <w:p>
      <w:pPr>
        <w:jc w:val="both"/>
        <w:ind w:left="720" w:hanging="884"/>
        <w:spacing w:after="0" w:line="257" w:lineRule="auto"/>
        <w:tabs>
          <w:tab w:leader="none" w:pos="700" w:val="left"/>
        </w:tabs>
        <w:rPr>
          <w:sz w:val="20"/>
          <w:szCs w:val="20"/>
          <w:color w:val="auto"/>
        </w:rPr>
      </w:pPr>
      <w:r>
        <w:rPr>
          <w:rFonts w:ascii="Arial" w:cs="Arial" w:eastAsia="Arial" w:hAnsi="Arial"/>
          <w:sz w:val="17"/>
          <w:szCs w:val="17"/>
          <w:color w:val="auto"/>
        </w:rPr>
        <w:t>6.3.4</w:t>
      </w:r>
      <w:r>
        <w:rPr>
          <w:sz w:val="20"/>
          <w:szCs w:val="20"/>
          <w:color w:val="auto"/>
        </w:rPr>
        <w:tab/>
      </w:r>
      <w:r>
        <w:rPr>
          <w:rFonts w:ascii="Arial" w:cs="Arial" w:eastAsia="Arial" w:hAnsi="Arial"/>
          <w:sz w:val="17"/>
          <w:szCs w:val="17"/>
          <w:color w:val="auto"/>
        </w:rPr>
        <w:t>In order to fulfil his ordinary duty to mitigate losses, the Executive must actively seek other suitable employment of a non-competing nature but not with an undertaking comprised by the Non-Solicitation Clause. After having obtained other suitable employment, the Executive shall only be entitled to compensation equal to 24 per cent of the salary applicable on termination of employment during the remaining enforcement period of the Clauses. In case the Executive neglects his mitigation duty, the Executive's right to compensation shall lapse.</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color w:val="auto"/>
          <w:highlight w:val="black"/>
        </w:rPr>
        <w:t>SIGNATURES</w:t>
      </w:r>
    </w:p>
    <w:p>
      <w:pPr>
        <w:spacing w:after="0" w:line="185" w:lineRule="exact"/>
        <w:rPr>
          <w:sz w:val="20"/>
          <w:szCs w:val="20"/>
          <w:color w:val="auto"/>
        </w:rPr>
      </w:pPr>
    </w:p>
    <w:p>
      <w:pPr>
        <w:jc w:val="both"/>
        <w:ind w:left="720" w:hanging="884"/>
        <w:spacing w:after="0" w:line="234" w:lineRule="auto"/>
        <w:tabs>
          <w:tab w:leader="none" w:pos="700" w:val="left"/>
        </w:tabs>
        <w:rPr>
          <w:sz w:val="20"/>
          <w:szCs w:val="20"/>
          <w:color w:val="auto"/>
        </w:rPr>
      </w:pPr>
      <w:r>
        <w:rPr>
          <w:rFonts w:ascii="Arial" w:cs="Arial" w:eastAsia="Arial" w:hAnsi="Arial"/>
          <w:sz w:val="17"/>
          <w:szCs w:val="17"/>
          <w:color w:val="auto"/>
        </w:rPr>
        <w:t>6.4.1</w:t>
      </w:r>
      <w:r>
        <w:rPr>
          <w:sz w:val="20"/>
          <w:szCs w:val="20"/>
          <w:color w:val="auto"/>
        </w:rPr>
        <w:tab/>
      </w:r>
      <w:r>
        <w:rPr>
          <w:rFonts w:ascii="Arial" w:cs="Arial" w:eastAsia="Arial" w:hAnsi="Arial"/>
          <w:sz w:val="17"/>
          <w:szCs w:val="17"/>
          <w:color w:val="auto"/>
        </w:rPr>
        <w:t>This Contract is executed using electronic signatures via Docusign which shall be considered original signatures for all purposes and shall carry the same legal validity as handwritten 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Gogo Denmark 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300" w:val="left"/>
        </w:tabs>
        <w:rPr>
          <w:sz w:val="20"/>
          <w:szCs w:val="20"/>
          <w:color w:val="auto"/>
        </w:rPr>
      </w:pPr>
      <w:r>
        <w:rPr>
          <w:rFonts w:ascii="Arial" w:cs="Arial" w:eastAsia="Arial" w:hAnsi="Arial"/>
          <w:sz w:val="17"/>
          <w:szCs w:val="17"/>
          <w:color w:val="auto"/>
        </w:rPr>
        <w:t>_/s/ Chris MacFarlane_______________</w:t>
      </w:r>
      <w:r>
        <w:rPr>
          <w:sz w:val="20"/>
          <w:szCs w:val="20"/>
          <w:color w:val="auto"/>
        </w:rPr>
        <w:tab/>
      </w:r>
      <w:r>
        <w:rPr>
          <w:rFonts w:ascii="Arial" w:cs="Arial" w:eastAsia="Arial" w:hAnsi="Arial"/>
          <w:sz w:val="16"/>
          <w:szCs w:val="16"/>
          <w:color w:val="auto"/>
        </w:rPr>
        <w:t>/s/ Michael Christensen________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388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38860"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-13335</wp:posOffset>
            </wp:positionV>
            <wp:extent cx="11150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700" w:val="left"/>
          <w:tab w:leader="none" w:pos="3940" w:val="left"/>
        </w:tabs>
        <w:rPr>
          <w:sz w:val="20"/>
          <w:szCs w:val="20"/>
          <w:color w:val="auto"/>
        </w:rPr>
      </w:pPr>
      <w:r>
        <w:rPr>
          <w:rFonts w:ascii="Arial" w:cs="Arial" w:eastAsia="Arial" w:hAnsi="Arial"/>
          <w:sz w:val="17"/>
          <w:szCs w:val="17"/>
          <w:color w:val="auto"/>
        </w:rPr>
        <w:t>Name:</w:t>
        <w:tab/>
        <w:t>Chris MacFarlane</w:t>
      </w:r>
      <w:r>
        <w:rPr>
          <w:sz w:val="20"/>
          <w:szCs w:val="20"/>
          <w:color w:val="auto"/>
        </w:rPr>
        <w:tab/>
      </w:r>
      <w:r>
        <w:rPr>
          <w:rFonts w:ascii="Arial" w:cs="Arial" w:eastAsia="Arial" w:hAnsi="Arial"/>
          <w:sz w:val="16"/>
          <w:szCs w:val="16"/>
          <w:color w:val="auto"/>
        </w:rPr>
        <w:t>Michael Christensen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Title: Member of the Executive Board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232323"/>
        </w:rPr>
        <w:t>Personal and Confidential</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32323"/>
        </w:rPr>
        <w:t>November 13, 2024 Michael Christensen</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32323"/>
        </w:rPr>
        <w:t xml:space="preserve">Email: </w:t>
      </w:r>
      <w:r>
        <w:rPr>
          <w:rFonts w:ascii="Times New Roman" w:cs="Times New Roman" w:eastAsia="Times New Roman" w:hAnsi="Times New Roman"/>
          <w:sz w:val="22"/>
          <w:szCs w:val="22"/>
          <w:color w:val="000000"/>
        </w:rPr>
        <w:t>mchristensen@satcomdirect.com</w:t>
      </w:r>
    </w:p>
    <w:p>
      <w:pPr>
        <w:spacing w:after="0" w:line="182" w:lineRule="exact"/>
        <w:rPr>
          <w:sz w:val="20"/>
          <w:szCs w:val="20"/>
          <w:color w:val="auto"/>
        </w:rPr>
      </w:pPr>
    </w:p>
    <w:p>
      <w:pPr>
        <w:ind w:left="780"/>
        <w:spacing w:after="0"/>
        <w:tabs>
          <w:tab w:leader="none" w:pos="1400" w:val="left"/>
          <w:tab w:leader="none" w:pos="2560" w:val="left"/>
          <w:tab w:leader="none" w:pos="3440" w:val="left"/>
          <w:tab w:leader="none" w:pos="4180" w:val="left"/>
        </w:tabs>
        <w:rPr>
          <w:sz w:val="20"/>
          <w:szCs w:val="20"/>
          <w:color w:val="auto"/>
        </w:rPr>
      </w:pPr>
      <w:r>
        <w:rPr>
          <w:rFonts w:ascii="Times New Roman" w:cs="Times New Roman" w:eastAsia="Times New Roman" w:hAnsi="Times New Roman"/>
          <w:sz w:val="22"/>
          <w:szCs w:val="22"/>
          <w:color w:val="232323"/>
        </w:rPr>
        <w:t>Re:</w:t>
      </w:r>
      <w:r>
        <w:rPr>
          <w:sz w:val="20"/>
          <w:szCs w:val="20"/>
          <w:color w:val="auto"/>
        </w:rPr>
        <w:tab/>
      </w:r>
      <w:r>
        <w:rPr>
          <w:rFonts w:ascii="Times New Roman" w:cs="Times New Roman" w:eastAsia="Times New Roman" w:hAnsi="Times New Roman"/>
          <w:sz w:val="22"/>
          <w:szCs w:val="22"/>
          <w:u w:val="single" w:color="auto"/>
          <w:color w:val="232323"/>
        </w:rPr>
        <w:t>Retention</w:t>
      </w:r>
      <w:r>
        <w:rPr>
          <w:sz w:val="20"/>
          <w:szCs w:val="20"/>
          <w:color w:val="auto"/>
        </w:rPr>
        <w:tab/>
      </w:r>
      <w:r>
        <w:rPr>
          <w:rFonts w:ascii="Times New Roman" w:cs="Times New Roman" w:eastAsia="Times New Roman" w:hAnsi="Times New Roman"/>
          <w:sz w:val="22"/>
          <w:szCs w:val="22"/>
          <w:u w:val="single" w:color="auto"/>
          <w:color w:val="232323"/>
        </w:rPr>
        <w:t>Bonus</w:t>
      </w:r>
      <w:r>
        <w:rPr>
          <w:sz w:val="20"/>
          <w:szCs w:val="20"/>
          <w:color w:val="auto"/>
        </w:rPr>
        <w:tab/>
      </w:r>
      <w:r>
        <w:rPr>
          <w:rFonts w:ascii="Times New Roman" w:cs="Times New Roman" w:eastAsia="Times New Roman" w:hAnsi="Times New Roman"/>
          <w:sz w:val="22"/>
          <w:szCs w:val="22"/>
          <w:color w:val="232323"/>
        </w:rPr>
        <w:t>Dear</w:t>
      </w:r>
      <w:r>
        <w:rPr>
          <w:sz w:val="20"/>
          <w:szCs w:val="20"/>
          <w:color w:val="auto"/>
        </w:rPr>
        <w:tab/>
      </w:r>
      <w:r>
        <w:rPr>
          <w:rFonts w:ascii="Times New Roman" w:cs="Times New Roman" w:eastAsia="Times New Roman" w:hAnsi="Times New Roman"/>
          <w:sz w:val="21"/>
          <w:szCs w:val="21"/>
          <w:color w:val="232323"/>
        </w:rPr>
        <w:t>Mr.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232323"/>
        </w:rPr>
        <w:t>Christensen:</w:t>
      </w:r>
    </w:p>
    <w:p>
      <w:pPr>
        <w:jc w:val="both"/>
        <w:ind w:right="60" w:firstLine="785"/>
        <w:spacing w:after="0" w:line="233" w:lineRule="auto"/>
        <w:rPr>
          <w:sz w:val="20"/>
          <w:szCs w:val="20"/>
          <w:color w:val="auto"/>
        </w:rPr>
      </w:pPr>
      <w:r>
        <w:rPr>
          <w:rFonts w:ascii="Times New Roman" w:cs="Times New Roman" w:eastAsia="Times New Roman" w:hAnsi="Times New Roman"/>
          <w:sz w:val="22"/>
          <w:szCs w:val="22"/>
          <w:color w:val="232323"/>
        </w:rPr>
        <w:t xml:space="preserve">Gogo Business Aviation, LLC (the </w:t>
      </w:r>
      <w:r>
        <w:rPr>
          <w:rFonts w:ascii="Times New Roman" w:cs="Times New Roman" w:eastAsia="Times New Roman" w:hAnsi="Times New Roman"/>
          <w:sz w:val="20"/>
          <w:szCs w:val="20"/>
          <w:b w:val="1"/>
          <w:bCs w:val="1"/>
          <w:i w:val="1"/>
          <w:iCs w:val="1"/>
          <w:color w:val="232323"/>
        </w:rPr>
        <w:t>"Company")</w:t>
      </w:r>
      <w:r>
        <w:rPr>
          <w:rFonts w:ascii="Times New Roman" w:cs="Times New Roman" w:eastAsia="Times New Roman" w:hAnsi="Times New Roman"/>
          <w:sz w:val="22"/>
          <w:szCs w:val="22"/>
          <w:color w:val="232323"/>
        </w:rPr>
        <w:t xml:space="preserve"> and the Board of Directors of Gogo Inc., the parent company of the Company (the </w:t>
      </w:r>
      <w:r>
        <w:rPr>
          <w:rFonts w:ascii="Times New Roman" w:cs="Times New Roman" w:eastAsia="Times New Roman" w:hAnsi="Times New Roman"/>
          <w:sz w:val="20"/>
          <w:szCs w:val="20"/>
          <w:b w:val="1"/>
          <w:bCs w:val="1"/>
          <w:i w:val="1"/>
          <w:iCs w:val="1"/>
          <w:color w:val="232323"/>
        </w:rPr>
        <w:t>"Board")</w:t>
      </w:r>
      <w:r>
        <w:rPr>
          <w:rFonts w:ascii="Times New Roman" w:cs="Times New Roman" w:eastAsia="Times New Roman" w:hAnsi="Times New Roman"/>
          <w:sz w:val="22"/>
          <w:szCs w:val="22"/>
          <w:color w:val="232323"/>
        </w:rPr>
        <w:t xml:space="preserve"> are pleased to offer you a Retention Bonus (as defined below) on the terms and conditions set forth in this letter agreement (this </w:t>
      </w:r>
      <w:r>
        <w:rPr>
          <w:rFonts w:ascii="Times New Roman" w:cs="Times New Roman" w:eastAsia="Times New Roman" w:hAnsi="Times New Roman"/>
          <w:sz w:val="20"/>
          <w:szCs w:val="20"/>
          <w:b w:val="1"/>
          <w:bCs w:val="1"/>
          <w:i w:val="1"/>
          <w:iCs w:val="1"/>
          <w:color w:val="232323"/>
        </w:rPr>
        <w:t>"Agreement")</w:t>
      </w:r>
      <w:r>
        <w:rPr>
          <w:rFonts w:ascii="Times New Roman" w:cs="Times New Roman" w:eastAsia="Times New Roman" w:hAnsi="Times New Roman"/>
          <w:sz w:val="22"/>
          <w:szCs w:val="22"/>
          <w:color w:val="232323"/>
        </w:rPr>
        <w:t xml:space="preserve"> in connection with the transactions contemplated by that certain Purchase Agreement, dated as of September 29, 2024 (the </w:t>
      </w:r>
      <w:r>
        <w:rPr>
          <w:rFonts w:ascii="Times New Roman" w:cs="Times New Roman" w:eastAsia="Times New Roman" w:hAnsi="Times New Roman"/>
          <w:sz w:val="20"/>
          <w:szCs w:val="20"/>
          <w:b w:val="1"/>
          <w:bCs w:val="1"/>
          <w:i w:val="1"/>
          <w:iCs w:val="1"/>
          <w:color w:val="383838"/>
        </w:rPr>
        <w:t>"Purchase</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0"/>
          <w:szCs w:val="20"/>
          <w:b w:val="1"/>
          <w:bCs w:val="1"/>
          <w:i w:val="1"/>
          <w:iCs w:val="1"/>
          <w:color w:val="232323"/>
        </w:rPr>
        <w:t>Agreement"),</w:t>
      </w:r>
      <w:r>
        <w:rPr>
          <w:rFonts w:ascii="Times New Roman" w:cs="Times New Roman" w:eastAsia="Times New Roman" w:hAnsi="Times New Roman"/>
          <w:sz w:val="22"/>
          <w:szCs w:val="22"/>
          <w:color w:val="232323"/>
        </w:rPr>
        <w:t xml:space="preserve"> by and among the Company, the Sellers (as defined therein), Satcom Direct, Inc., a Florida corporation </w:t>
      </w:r>
      <w:r>
        <w:rPr>
          <w:rFonts w:ascii="Times New Roman" w:cs="Times New Roman" w:eastAsia="Times New Roman" w:hAnsi="Times New Roman"/>
          <w:sz w:val="20"/>
          <w:szCs w:val="20"/>
          <w:b w:val="1"/>
          <w:bCs w:val="1"/>
          <w:i w:val="1"/>
          <w:iCs w:val="1"/>
          <w:color w:val="232323"/>
        </w:rPr>
        <w:t>("Satcom Direct"),</w:t>
      </w:r>
      <w:r>
        <w:rPr>
          <w:rFonts w:ascii="Times New Roman" w:cs="Times New Roman" w:eastAsia="Times New Roman" w:hAnsi="Times New Roman"/>
          <w:sz w:val="22"/>
          <w:szCs w:val="22"/>
          <w:color w:val="232323"/>
        </w:rPr>
        <w:t xml:space="preserve"> and other parties thereto, among other things, the Company will acquire the equity interests of Satcom Direct (together with other transactions contemplated by the Purchase Agreement, the </w:t>
      </w:r>
      <w:r>
        <w:rPr>
          <w:rFonts w:ascii="Times New Roman" w:cs="Times New Roman" w:eastAsia="Times New Roman" w:hAnsi="Times New Roman"/>
          <w:sz w:val="20"/>
          <w:szCs w:val="20"/>
          <w:b w:val="1"/>
          <w:bCs w:val="1"/>
          <w:i w:val="1"/>
          <w:iCs w:val="1"/>
          <w:color w:val="232323"/>
        </w:rPr>
        <w:t xml:space="preserve">"Transaction"). </w:t>
      </w:r>
      <w:r>
        <w:rPr>
          <w:rFonts w:ascii="Times New Roman" w:cs="Times New Roman" w:eastAsia="Times New Roman" w:hAnsi="Times New Roman"/>
          <w:sz w:val="21"/>
          <w:szCs w:val="21"/>
          <w:color w:val="232323"/>
        </w:rPr>
        <w:t>Capitalized terms not otherwise defined in this Agreement shall have the meanings set forth in your</w:t>
      </w:r>
      <w:r>
        <w:rPr>
          <w:rFonts w:ascii="Times New Roman" w:cs="Times New Roman" w:eastAsia="Times New Roman" w:hAnsi="Times New Roman"/>
          <w:sz w:val="20"/>
          <w:szCs w:val="20"/>
          <w:b w:val="1"/>
          <w:bCs w:val="1"/>
          <w:i w:val="1"/>
          <w:iCs w:val="1"/>
          <w:color w:val="232323"/>
        </w:rPr>
        <w:t xml:space="preserve"> </w:t>
      </w:r>
      <w:r>
        <w:rPr>
          <w:rFonts w:ascii="Times New Roman" w:cs="Times New Roman" w:eastAsia="Times New Roman" w:hAnsi="Times New Roman"/>
          <w:sz w:val="21"/>
          <w:szCs w:val="21"/>
          <w:color w:val="232323"/>
        </w:rPr>
        <w:t xml:space="preserve">Employment Agreement with the Company, dated on or about the date hereof (the </w:t>
      </w:r>
      <w:r>
        <w:rPr>
          <w:rFonts w:ascii="Times New Roman" w:cs="Times New Roman" w:eastAsia="Times New Roman" w:hAnsi="Times New Roman"/>
          <w:sz w:val="20"/>
          <w:szCs w:val="20"/>
          <w:b w:val="1"/>
          <w:bCs w:val="1"/>
          <w:i w:val="1"/>
          <w:iCs w:val="1"/>
          <w:color w:val="232323"/>
        </w:rPr>
        <w:t>"Employment Agreement").</w:t>
      </w:r>
    </w:p>
    <w:p>
      <w:pPr>
        <w:spacing w:after="0" w:line="196" w:lineRule="exact"/>
        <w:rPr>
          <w:sz w:val="20"/>
          <w:szCs w:val="20"/>
          <w:color w:val="auto"/>
        </w:rPr>
      </w:pPr>
    </w:p>
    <w:p>
      <w:pPr>
        <w:jc w:val="both"/>
        <w:ind w:left="20" w:right="80" w:firstLine="756"/>
        <w:spacing w:after="0"/>
        <w:tabs>
          <w:tab w:leader="none" w:pos="1160" w:val="left"/>
        </w:tabs>
        <w:numPr>
          <w:ilvl w:val="1"/>
          <w:numId w:val="47"/>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u w:val="single" w:color="auto"/>
          <w:color w:val="232323"/>
        </w:rPr>
        <w:t>Retention Bonus.</w:t>
      </w:r>
      <w:r>
        <w:rPr>
          <w:rFonts w:ascii="Times New Roman" w:cs="Times New Roman" w:eastAsia="Times New Roman" w:hAnsi="Times New Roman"/>
          <w:sz w:val="22"/>
          <w:szCs w:val="22"/>
          <w:color w:val="232323"/>
        </w:rPr>
        <w:t xml:space="preserve"> Effective and conditioned upon the consummation of the Transaction (the date of such consummation, the </w:t>
      </w:r>
      <w:r>
        <w:rPr>
          <w:rFonts w:ascii="Times New Roman" w:cs="Times New Roman" w:eastAsia="Times New Roman" w:hAnsi="Times New Roman"/>
          <w:sz w:val="20"/>
          <w:szCs w:val="20"/>
          <w:b w:val="1"/>
          <w:bCs w:val="1"/>
          <w:i w:val="1"/>
          <w:iCs w:val="1"/>
          <w:color w:val="232323"/>
        </w:rPr>
        <w:t>"Effective Date"),</w:t>
      </w:r>
      <w:r>
        <w:rPr>
          <w:rFonts w:ascii="Times New Roman" w:cs="Times New Roman" w:eastAsia="Times New Roman" w:hAnsi="Times New Roman"/>
          <w:sz w:val="22"/>
          <w:szCs w:val="22"/>
          <w:color w:val="232323"/>
        </w:rPr>
        <w:t xml:space="preserve"> you will be granted a one-time retention bonus opportunity in an aggregate amount equal to $500,000 (the </w:t>
      </w:r>
      <w:r>
        <w:rPr>
          <w:rFonts w:ascii="Times New Roman" w:cs="Times New Roman" w:eastAsia="Times New Roman" w:hAnsi="Times New Roman"/>
          <w:sz w:val="20"/>
          <w:szCs w:val="20"/>
          <w:b w:val="1"/>
          <w:bCs w:val="1"/>
          <w:i w:val="1"/>
          <w:iCs w:val="1"/>
          <w:color w:val="232323"/>
        </w:rPr>
        <w:t>"Retention Bonus").</w:t>
      </w:r>
      <w:r>
        <w:rPr>
          <w:rFonts w:ascii="Times New Roman" w:cs="Times New Roman" w:eastAsia="Times New Roman" w:hAnsi="Times New Roman"/>
          <w:sz w:val="22"/>
          <w:szCs w:val="22"/>
          <w:color w:val="232323"/>
        </w:rPr>
        <w:t xml:space="preserve"> The Retention Bonus shall vest, as follows, (i) one-third on the Effective Date (the </w:t>
      </w:r>
      <w:r>
        <w:rPr>
          <w:rFonts w:ascii="Times New Roman" w:cs="Times New Roman" w:eastAsia="Times New Roman" w:hAnsi="Times New Roman"/>
          <w:sz w:val="20"/>
          <w:szCs w:val="20"/>
          <w:b w:val="1"/>
          <w:bCs w:val="1"/>
          <w:i w:val="1"/>
          <w:iCs w:val="1"/>
          <w:color w:val="232323"/>
        </w:rPr>
        <w:t xml:space="preserve">"Initial Vesting Date"), </w:t>
      </w:r>
      <w:r>
        <w:rPr>
          <w:rFonts w:ascii="Times New Roman" w:cs="Times New Roman" w:eastAsia="Times New Roman" w:hAnsi="Times New Roman"/>
          <w:sz w:val="21"/>
          <w:szCs w:val="21"/>
          <w:color w:val="232323"/>
        </w:rPr>
        <w:t>(ii) one-third on the first anniversary of the Effective Date (the</w:t>
      </w:r>
      <w:r>
        <w:rPr>
          <w:rFonts w:ascii="Times New Roman" w:cs="Times New Roman" w:eastAsia="Times New Roman" w:hAnsi="Times New Roman"/>
          <w:sz w:val="20"/>
          <w:szCs w:val="20"/>
          <w:b w:val="1"/>
          <w:bCs w:val="1"/>
          <w:i w:val="1"/>
          <w:iCs w:val="1"/>
          <w:color w:val="232323"/>
        </w:rPr>
        <w:t xml:space="preserve"> "Second Vesting Date") </w:t>
      </w:r>
      <w:r>
        <w:rPr>
          <w:rFonts w:ascii="Times New Roman" w:cs="Times New Roman" w:eastAsia="Times New Roman" w:hAnsi="Times New Roman"/>
          <w:sz w:val="21"/>
          <w:szCs w:val="21"/>
          <w:color w:val="232323"/>
        </w:rPr>
        <w:t xml:space="preserve">and (iii) one-third on the second anniversary of the Effective Date (the </w:t>
      </w:r>
      <w:r>
        <w:rPr>
          <w:rFonts w:ascii="Times New Roman" w:cs="Times New Roman" w:eastAsia="Times New Roman" w:hAnsi="Times New Roman"/>
          <w:sz w:val="20"/>
          <w:szCs w:val="20"/>
          <w:b w:val="1"/>
          <w:bCs w:val="1"/>
          <w:i w:val="1"/>
          <w:iCs w:val="1"/>
          <w:color w:val="232323"/>
        </w:rPr>
        <w:t>"Third Vesting Date"</w:t>
      </w:r>
      <w:r>
        <w:rPr>
          <w:rFonts w:ascii="Times New Roman" w:cs="Times New Roman" w:eastAsia="Times New Roman" w:hAnsi="Times New Roman"/>
          <w:sz w:val="21"/>
          <w:szCs w:val="21"/>
          <w:color w:val="232323"/>
        </w:rPr>
        <w:t xml:space="preserve"> and each, a </w:t>
      </w:r>
      <w:r>
        <w:rPr>
          <w:rFonts w:ascii="Times New Roman" w:cs="Times New Roman" w:eastAsia="Times New Roman" w:hAnsi="Times New Roman"/>
          <w:sz w:val="20"/>
          <w:szCs w:val="20"/>
          <w:b w:val="1"/>
          <w:bCs w:val="1"/>
          <w:i w:val="1"/>
          <w:iCs w:val="1"/>
          <w:color w:val="383838"/>
        </w:rPr>
        <w:t>"Vesting</w:t>
      </w:r>
      <w:r>
        <w:rPr>
          <w:rFonts w:ascii="Times New Roman" w:cs="Times New Roman" w:eastAsia="Times New Roman" w:hAnsi="Times New Roman"/>
          <w:sz w:val="21"/>
          <w:szCs w:val="21"/>
          <w:color w:val="232323"/>
        </w:rPr>
        <w:t xml:space="preserve"> </w:t>
      </w:r>
      <w:r>
        <w:rPr>
          <w:rFonts w:ascii="Times New Roman" w:cs="Times New Roman" w:eastAsia="Times New Roman" w:hAnsi="Times New Roman"/>
          <w:sz w:val="20"/>
          <w:szCs w:val="20"/>
          <w:b w:val="1"/>
          <w:bCs w:val="1"/>
          <w:i w:val="1"/>
          <w:iCs w:val="1"/>
          <w:color w:val="232323"/>
        </w:rPr>
        <w:t>Date"),</w:t>
      </w:r>
      <w:r>
        <w:rPr>
          <w:rFonts w:ascii="Times New Roman" w:cs="Times New Roman" w:eastAsia="Times New Roman" w:hAnsi="Times New Roman"/>
          <w:sz w:val="21"/>
          <w:szCs w:val="21"/>
          <w:color w:val="232323"/>
        </w:rPr>
        <w:t xml:space="preserve"> in each case, provided that you continue to be employed by the Company or its subsidiaries through the applicable Vesting Date, except as provided in </w:t>
      </w:r>
      <w:r>
        <w:rPr>
          <w:rFonts w:ascii="Times New Roman" w:cs="Times New Roman" w:eastAsia="Times New Roman" w:hAnsi="Times New Roman"/>
          <w:sz w:val="21"/>
          <w:szCs w:val="21"/>
          <w:u w:val="single" w:color="auto"/>
          <w:color w:val="232323"/>
        </w:rPr>
        <w:t>Section 1(a)</w:t>
      </w:r>
      <w:r>
        <w:rPr>
          <w:rFonts w:ascii="Times New Roman" w:cs="Times New Roman" w:eastAsia="Times New Roman" w:hAnsi="Times New Roman"/>
          <w:sz w:val="21"/>
          <w:szCs w:val="21"/>
          <w:color w:val="232323"/>
        </w:rPr>
        <w:t xml:space="preserve"> below. Any portion of the Retention Bonus that vests will be payable to you in a lump sum within sixty (60) days following the applicable Vesting Date.</w:t>
      </w:r>
    </w:p>
    <w:p>
      <w:pPr>
        <w:spacing w:after="0" w:line="182" w:lineRule="exact"/>
        <w:rPr>
          <w:rFonts w:ascii="Times New Roman" w:cs="Times New Roman" w:eastAsia="Times New Roman" w:hAnsi="Times New Roman"/>
          <w:sz w:val="22"/>
          <w:szCs w:val="22"/>
          <w:color w:val="232323"/>
        </w:rPr>
      </w:pPr>
    </w:p>
    <w:p>
      <w:pPr>
        <w:jc w:val="both"/>
        <w:ind w:right="80" w:firstLine="1536"/>
        <w:spacing w:after="0" w:line="244" w:lineRule="auto"/>
        <w:tabs>
          <w:tab w:leader="none" w:pos="1973" w:val="left"/>
        </w:tabs>
        <w:numPr>
          <w:ilvl w:val="3"/>
          <w:numId w:val="47"/>
        </w:numPr>
        <w:rPr>
          <w:rFonts w:ascii="Times New Roman" w:cs="Times New Roman" w:eastAsia="Times New Roman" w:hAnsi="Times New Roman"/>
          <w:sz w:val="21"/>
          <w:szCs w:val="21"/>
          <w:color w:val="232323"/>
        </w:rPr>
      </w:pPr>
      <w:r>
        <w:rPr>
          <w:rFonts w:ascii="Times New Roman" w:cs="Times New Roman" w:eastAsia="Times New Roman" w:hAnsi="Times New Roman"/>
          <w:sz w:val="21"/>
          <w:szCs w:val="21"/>
          <w:color w:val="232323"/>
        </w:rPr>
        <w:t xml:space="preserve">Notwithstanding the foregoing, in the event (i) your employment is terminated by the Company without Cause, by you for Good Reason (under the Employment Agreement or CIC Agreement) or upon your death or disability (as contemplated by Section 8(b) of your Employment Agreement); or (ii) upon the consummation of a Change in Control (as defined in your CIC Agreement), to the extent you remain employed by the Company or its affiliates at the time thereof, then, subject to your timely execution and delivery to the Company and non-revocation (in each case, within any timeframes provided by the Company for doing so) of a general release of claims in a form reasonably prescribed by the Company and your continued compliance with your Continuing Obligations (as defined below) in accordance with </w:t>
      </w:r>
      <w:r>
        <w:rPr>
          <w:rFonts w:ascii="Times New Roman" w:cs="Times New Roman" w:eastAsia="Times New Roman" w:hAnsi="Times New Roman"/>
          <w:sz w:val="21"/>
          <w:szCs w:val="21"/>
          <w:u w:val="single" w:color="auto"/>
          <w:color w:val="232323"/>
        </w:rPr>
        <w:t>Section 9</w:t>
      </w:r>
      <w:r>
        <w:rPr>
          <w:rFonts w:ascii="Times New Roman" w:cs="Times New Roman" w:eastAsia="Times New Roman" w:hAnsi="Times New Roman"/>
          <w:sz w:val="21"/>
          <w:szCs w:val="21"/>
          <w:color w:val="232323"/>
        </w:rPr>
        <w:t xml:space="preserve"> below, any unpaid portion of the Retention Bonus will be paid to you (or your estate or legal guardian, as applicable) in a lump sum within sixty</w:t>
      </w:r>
    </w:p>
    <w:p>
      <w:pPr>
        <w:spacing w:after="0" w:line="3" w:lineRule="exact"/>
        <w:rPr>
          <w:rFonts w:ascii="Times New Roman" w:cs="Times New Roman" w:eastAsia="Times New Roman" w:hAnsi="Times New Roman"/>
          <w:sz w:val="21"/>
          <w:szCs w:val="21"/>
          <w:color w:val="232323"/>
        </w:rPr>
      </w:pPr>
    </w:p>
    <w:p>
      <w:pPr>
        <w:ind w:left="420" w:hanging="412"/>
        <w:spacing w:after="0"/>
        <w:tabs>
          <w:tab w:leader="none" w:pos="420" w:val="left"/>
        </w:tabs>
        <w:numPr>
          <w:ilvl w:val="0"/>
          <w:numId w:val="48"/>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days after the date of such termination of employment or Change in Control (as applicable).</w:t>
      </w:r>
    </w:p>
    <w:p>
      <w:pPr>
        <w:spacing w:after="0" w:line="20" w:lineRule="exact"/>
        <w:rPr>
          <w:rFonts w:ascii="Times New Roman" w:cs="Times New Roman" w:eastAsia="Times New Roman" w:hAnsi="Times New Roman"/>
          <w:sz w:val="22"/>
          <w:szCs w:val="22"/>
          <w:color w:val="232323"/>
        </w:rPr>
      </w:pPr>
    </w:p>
    <w:p>
      <w:pPr>
        <w:jc w:val="both"/>
        <w:ind w:right="140" w:firstLine="1506"/>
        <w:spacing w:after="0" w:line="244" w:lineRule="auto"/>
        <w:tabs>
          <w:tab w:leader="none" w:pos="1970" w:val="left"/>
        </w:tabs>
        <w:numPr>
          <w:ilvl w:val="2"/>
          <w:numId w:val="48"/>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 xml:space="preserve">For the avoidance of doubt, if your employment with the Company and its subsidiaries terminates prior to a Vesting Date for any reason other than as set forth in </w:t>
      </w:r>
      <w:r>
        <w:rPr>
          <w:rFonts w:ascii="Times New Roman" w:cs="Times New Roman" w:eastAsia="Times New Roman" w:hAnsi="Times New Roman"/>
          <w:sz w:val="22"/>
          <w:szCs w:val="22"/>
          <w:u w:val="single" w:color="auto"/>
          <w:color w:val="232323"/>
        </w:rPr>
        <w:t>Section</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2"/>
          <w:szCs w:val="22"/>
          <w:u w:val="single" w:color="auto"/>
          <w:color w:val="383838"/>
        </w:rPr>
        <w:t>1</w:t>
      </w:r>
      <w:r>
        <w:rPr>
          <w:rFonts w:ascii="Times New Roman" w:cs="Times New Roman" w:eastAsia="Times New Roman" w:hAnsi="Times New Roman"/>
          <w:sz w:val="22"/>
          <w:szCs w:val="22"/>
          <w:u w:val="single" w:color="auto"/>
          <w:color w:val="232323"/>
        </w:rPr>
        <w:t>(a)</w:t>
      </w:r>
      <w:r>
        <w:rPr>
          <w:rFonts w:ascii="Times New Roman" w:cs="Times New Roman" w:eastAsia="Times New Roman" w:hAnsi="Times New Roman"/>
          <w:sz w:val="22"/>
          <w:szCs w:val="22"/>
          <w:color w:val="232323"/>
        </w:rPr>
        <w:t xml:space="preserve"> above, then the unpaid portion of the Retention Bonus shall be automatically forfeited upon the date of such termination for no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208915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769" w:right="339" w:bottom="1440" w:gutter="0" w:footer="0" w:header="0"/>
        </w:sectPr>
      </w:pPr>
    </w:p>
    <w:bookmarkStart w:id="60" w:name="page61"/>
    <w:bookmarkEnd w:id="60"/>
    <w:p>
      <w:pPr>
        <w:jc w:val="both"/>
        <w:ind w:right="40" w:firstLine="737"/>
        <w:spacing w:after="0" w:line="244" w:lineRule="auto"/>
        <w:tabs>
          <w:tab w:leader="none" w:pos="941" w:val="left"/>
        </w:tabs>
        <w:numPr>
          <w:ilvl w:val="0"/>
          <w:numId w:val="49"/>
        </w:numPr>
        <w:rPr>
          <w:rFonts w:ascii="Times New Roman" w:cs="Times New Roman" w:eastAsia="Times New Roman" w:hAnsi="Times New Roman"/>
          <w:sz w:val="21"/>
          <w:szCs w:val="21"/>
          <w:color w:val="232323"/>
        </w:rPr>
      </w:pPr>
      <w:r>
        <w:rPr>
          <w:rFonts w:ascii="Times New Roman" w:cs="Times New Roman" w:eastAsia="Times New Roman" w:hAnsi="Times New Roman"/>
          <w:sz w:val="21"/>
          <w:szCs w:val="21"/>
          <w:u w:val="single" w:color="auto"/>
          <w:color w:val="232323"/>
        </w:rPr>
        <w:t>Waiver of Change in Control Bonus.</w:t>
      </w:r>
      <w:r>
        <w:rPr>
          <w:rFonts w:ascii="Times New Roman" w:cs="Times New Roman" w:eastAsia="Times New Roman" w:hAnsi="Times New Roman"/>
          <w:sz w:val="21"/>
          <w:szCs w:val="21"/>
          <w:color w:val="232323"/>
        </w:rPr>
        <w:t xml:space="preserve"> Reference is made to that certain Satcom Direct First Amended Change of Control Bonus Plan for Tier 1-3 Participants, effective March 27, 2024 (the </w:t>
      </w:r>
      <w:r>
        <w:rPr>
          <w:rFonts w:ascii="Times New Roman" w:cs="Times New Roman" w:eastAsia="Times New Roman" w:hAnsi="Times New Roman"/>
          <w:sz w:val="19"/>
          <w:szCs w:val="19"/>
          <w:b w:val="1"/>
          <w:bCs w:val="1"/>
          <w:i w:val="1"/>
          <w:iCs w:val="1"/>
          <w:color w:val="232323"/>
        </w:rPr>
        <w:t>"Plan")</w:t>
      </w:r>
      <w:r>
        <w:rPr>
          <w:rFonts w:ascii="Times New Roman" w:cs="Times New Roman" w:eastAsia="Times New Roman" w:hAnsi="Times New Roman"/>
          <w:sz w:val="21"/>
          <w:szCs w:val="21"/>
          <w:color w:val="232323"/>
        </w:rPr>
        <w:t xml:space="preserve"> and your Award Agreement for Tier 2&amp;3 Participants, dated April 5, 2024, by and between you and Satcom Direct (the </w:t>
      </w:r>
      <w:r>
        <w:rPr>
          <w:rFonts w:ascii="Times New Roman" w:cs="Times New Roman" w:eastAsia="Times New Roman" w:hAnsi="Times New Roman"/>
          <w:sz w:val="19"/>
          <w:szCs w:val="19"/>
          <w:b w:val="1"/>
          <w:bCs w:val="1"/>
          <w:i w:val="1"/>
          <w:iCs w:val="1"/>
          <w:color w:val="232323"/>
        </w:rPr>
        <w:t>“Award Agreement").</w:t>
      </w:r>
      <w:r>
        <w:rPr>
          <w:rFonts w:ascii="Times New Roman" w:cs="Times New Roman" w:eastAsia="Times New Roman" w:hAnsi="Times New Roman"/>
          <w:sz w:val="21"/>
          <w:szCs w:val="21"/>
          <w:color w:val="232323"/>
        </w:rPr>
        <w:t xml:space="preserve"> In exchange for, and as a condition to, the opportunity to receive the Retention Bonus and other good and valuable consideration (including, but not limited to, your employment with the Company or its subsidiaries on and following the Effective Date), you agree to enter into that certain Change of Control Bonus Termination and Release Agreement, dated on the date hereof, by and between you and Satcom Direct (the </w:t>
      </w:r>
      <w:r>
        <w:rPr>
          <w:rFonts w:ascii="Times New Roman" w:cs="Times New Roman" w:eastAsia="Times New Roman" w:hAnsi="Times New Roman"/>
          <w:sz w:val="19"/>
          <w:szCs w:val="19"/>
          <w:b w:val="1"/>
          <w:bCs w:val="1"/>
          <w:i w:val="1"/>
          <w:iCs w:val="1"/>
          <w:color w:val="232323"/>
        </w:rPr>
        <w:t>"Termination Agreement"),</w:t>
      </w:r>
      <w:r>
        <w:rPr>
          <w:rFonts w:ascii="Times New Roman" w:cs="Times New Roman" w:eastAsia="Times New Roman" w:hAnsi="Times New Roman"/>
          <w:sz w:val="21"/>
          <w:szCs w:val="21"/>
          <w:color w:val="232323"/>
        </w:rPr>
        <w:t xml:space="preserve"> pursuant to which you and Satcom Direct agreed to terminate the Award Agreement (and your entitlement to any Change of Control Bonus under the Plan) upon the Closing. Without limitation of the foregoing (but subject to Section </w:t>
      </w:r>
      <w:r>
        <w:rPr>
          <w:rFonts w:ascii="Times New Roman" w:cs="Times New Roman" w:eastAsia="Times New Roman" w:hAnsi="Times New Roman"/>
          <w:sz w:val="21"/>
          <w:szCs w:val="21"/>
          <w:color w:val="383838"/>
        </w:rPr>
        <w:t>2</w:t>
      </w:r>
      <w:r>
        <w:rPr>
          <w:rFonts w:ascii="Times New Roman" w:cs="Times New Roman" w:eastAsia="Times New Roman" w:hAnsi="Times New Roman"/>
          <w:sz w:val="21"/>
          <w:szCs w:val="21"/>
          <w:color w:val="232323"/>
        </w:rPr>
        <w:t xml:space="preserve"> below), you, on behalf of yourself and each of your successors, assigns, affiliates and representatives, hereby further agree to unconditionally and irrevocably forever waive and release the Company, Satcom Direct and their respective (in each case, direct and indirect, current and future) parents, subsidiaries, affiliates, equityholders, directors, managers, officers, employees, agents, insurers and other representatives from, any and all rights, claims, cause of action, remedy, suits, debts, sums of money, damages, losses, judgements, accounts or bills of any kind or character, whether known or unknown, direct or indirect, suspected or unsuspected, in contract or in law or equity or otherwise, you may have arising under or related to the Plan, the Award Agreement and any Change of Control Bonus (as defined in the Plan) granted thereunder </w:t>
      </w:r>
      <w:r>
        <w:rPr>
          <w:rFonts w:ascii="Times New Roman" w:cs="Times New Roman" w:eastAsia="Times New Roman" w:hAnsi="Times New Roman"/>
          <w:sz w:val="19"/>
          <w:szCs w:val="19"/>
          <w:b w:val="1"/>
          <w:bCs w:val="1"/>
          <w:i w:val="1"/>
          <w:iCs w:val="1"/>
          <w:color w:val="232323"/>
        </w:rPr>
        <w:t>("Released Claims"),</w:t>
      </w:r>
      <w:r>
        <w:rPr>
          <w:rFonts w:ascii="Times New Roman" w:cs="Times New Roman" w:eastAsia="Times New Roman" w:hAnsi="Times New Roman"/>
          <w:sz w:val="21"/>
          <w:szCs w:val="21"/>
          <w:color w:val="232323"/>
        </w:rPr>
        <w:t xml:space="preserve"> and you agree not to bring or threaten to bring, or otherwise join any such Released Claim.</w:t>
      </w:r>
    </w:p>
    <w:p>
      <w:pPr>
        <w:spacing w:after="0" w:line="175" w:lineRule="exact"/>
        <w:rPr>
          <w:rFonts w:ascii="Times New Roman" w:cs="Times New Roman" w:eastAsia="Times New Roman" w:hAnsi="Times New Roman"/>
          <w:sz w:val="21"/>
          <w:szCs w:val="21"/>
          <w:color w:val="232323"/>
        </w:rPr>
      </w:pPr>
    </w:p>
    <w:p>
      <w:pPr>
        <w:jc w:val="both"/>
        <w:ind w:right="20" w:firstLine="752"/>
        <w:spacing w:after="0" w:line="239" w:lineRule="auto"/>
        <w:tabs>
          <w:tab w:leader="none" w:pos="942" w:val="left"/>
        </w:tabs>
        <w:numPr>
          <w:ilvl w:val="1"/>
          <w:numId w:val="49"/>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u w:val="single" w:color="auto"/>
          <w:color w:val="383838"/>
        </w:rPr>
        <w:t>Effectiveness.</w:t>
      </w:r>
      <w:r>
        <w:rPr>
          <w:rFonts w:ascii="Times New Roman" w:cs="Times New Roman" w:eastAsia="Times New Roman" w:hAnsi="Times New Roman"/>
          <w:sz w:val="22"/>
          <w:szCs w:val="22"/>
          <w:color w:val="383838"/>
        </w:rPr>
        <w:t xml:space="preserve"> </w:t>
      </w:r>
      <w:r>
        <w:rPr>
          <w:rFonts w:ascii="Times New Roman" w:cs="Times New Roman" w:eastAsia="Times New Roman" w:hAnsi="Times New Roman"/>
          <w:sz w:val="22"/>
          <w:szCs w:val="22"/>
          <w:color w:val="232323"/>
        </w:rPr>
        <w:t>This Agreement will become effective on, and conditioned upon the occurrence of, the Effective</w:t>
      </w:r>
      <w:r>
        <w:rPr>
          <w:rFonts w:ascii="Times New Roman" w:cs="Times New Roman" w:eastAsia="Times New Roman" w:hAnsi="Times New Roman"/>
          <w:sz w:val="22"/>
          <w:szCs w:val="22"/>
          <w:color w:val="383838"/>
        </w:rPr>
        <w:t xml:space="preserve"> </w:t>
      </w:r>
      <w:r>
        <w:rPr>
          <w:rFonts w:ascii="Times New Roman" w:cs="Times New Roman" w:eastAsia="Times New Roman" w:hAnsi="Times New Roman"/>
          <w:sz w:val="22"/>
          <w:szCs w:val="22"/>
          <w:color w:val="232323"/>
        </w:rPr>
        <w:t xml:space="preserve">Date. In the event the Transaction is not consummated for any reason, this Agreement (including the release set forth in </w:t>
      </w:r>
      <w:r>
        <w:rPr>
          <w:rFonts w:ascii="Times New Roman" w:cs="Times New Roman" w:eastAsia="Times New Roman" w:hAnsi="Times New Roman"/>
          <w:sz w:val="22"/>
          <w:szCs w:val="22"/>
          <w:u w:val="single" w:color="auto"/>
          <w:color w:val="232323"/>
        </w:rPr>
        <w:t>Section</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2"/>
          <w:szCs w:val="22"/>
          <w:u w:val="single" w:color="auto"/>
          <w:color w:val="232323"/>
        </w:rPr>
        <w:t>1</w:t>
      </w:r>
      <w:r>
        <w:rPr>
          <w:rFonts w:ascii="Times New Roman" w:cs="Times New Roman" w:eastAsia="Times New Roman" w:hAnsi="Times New Roman"/>
          <w:sz w:val="22"/>
          <w:szCs w:val="22"/>
          <w:color w:val="232323"/>
        </w:rPr>
        <w:t xml:space="preserve"> above) shall be null and void, </w:t>
      </w:r>
      <w:r>
        <w:rPr>
          <w:rFonts w:ascii="Times New Roman" w:cs="Times New Roman" w:eastAsia="Times New Roman" w:hAnsi="Times New Roman"/>
          <w:sz w:val="22"/>
          <w:szCs w:val="22"/>
          <w:i w:val="1"/>
          <w:iCs w:val="1"/>
          <w:color w:val="232323"/>
        </w:rPr>
        <w:t>ab initio,</w:t>
      </w:r>
      <w:r>
        <w:rPr>
          <w:rFonts w:ascii="Times New Roman" w:cs="Times New Roman" w:eastAsia="Times New Roman" w:hAnsi="Times New Roman"/>
          <w:sz w:val="22"/>
          <w:szCs w:val="22"/>
          <w:color w:val="232323"/>
        </w:rPr>
        <w:t xml:space="preserve"> and you will have no rights or claims to receive any payments or benefits under this Agreement.</w:t>
      </w:r>
    </w:p>
    <w:p>
      <w:pPr>
        <w:spacing w:after="0" w:line="193" w:lineRule="exact"/>
        <w:rPr>
          <w:rFonts w:ascii="Times New Roman" w:cs="Times New Roman" w:eastAsia="Times New Roman" w:hAnsi="Times New Roman"/>
          <w:sz w:val="22"/>
          <w:szCs w:val="22"/>
          <w:color w:val="232323"/>
        </w:rPr>
      </w:pPr>
    </w:p>
    <w:p>
      <w:pPr>
        <w:jc w:val="both"/>
        <w:ind w:left="20" w:firstLine="740"/>
        <w:spacing w:after="0" w:line="236" w:lineRule="auto"/>
        <w:tabs>
          <w:tab w:leader="none" w:pos="941" w:val="left"/>
        </w:tabs>
        <w:numPr>
          <w:ilvl w:val="2"/>
          <w:numId w:val="49"/>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u w:val="single" w:color="auto"/>
          <w:color w:val="232323"/>
        </w:rPr>
        <w:t>Administration.</w:t>
      </w:r>
      <w:r>
        <w:rPr>
          <w:rFonts w:ascii="Times New Roman" w:cs="Times New Roman" w:eastAsia="Times New Roman" w:hAnsi="Times New Roman"/>
          <w:sz w:val="22"/>
          <w:szCs w:val="22"/>
          <w:color w:val="232323"/>
        </w:rPr>
        <w:t xml:space="preserve"> The Board shall have the responsibility, in its sole discretion, to control, operate, construe, interpret, and administer this Agreement and shall have all the discretionary authority that may be necessary or helpful to enable it to discharge its responsibilities with respect to the Retention Bonus. The Board is empowered to correct any defect, supply any omission, or reconcile any inconsistency in the Agreement in the manner and to the extent the Board shall deem it desirable to carry it into effect. All determinations and interpretations made by the Board in good faith shall be final, binding, and conclusive on you and your heirs, successors, and legal representatives.</w:t>
      </w:r>
    </w:p>
    <w:p>
      <w:pPr>
        <w:spacing w:after="0" w:line="167" w:lineRule="exact"/>
        <w:rPr>
          <w:rFonts w:ascii="Times New Roman" w:cs="Times New Roman" w:eastAsia="Times New Roman" w:hAnsi="Times New Roman"/>
          <w:sz w:val="22"/>
          <w:szCs w:val="22"/>
          <w:color w:val="232323"/>
        </w:rPr>
      </w:pPr>
    </w:p>
    <w:p>
      <w:pPr>
        <w:jc w:val="both"/>
        <w:ind w:left="20" w:right="40" w:firstLine="746"/>
        <w:spacing w:after="0" w:line="244" w:lineRule="auto"/>
        <w:tabs>
          <w:tab w:leader="none" w:pos="947" w:val="left"/>
        </w:tabs>
        <w:numPr>
          <w:ilvl w:val="3"/>
          <w:numId w:val="49"/>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 xml:space="preserve">Withholding </w:t>
      </w:r>
      <w:r>
        <w:rPr>
          <w:rFonts w:ascii="Times New Roman" w:cs="Times New Roman" w:eastAsia="Times New Roman" w:hAnsi="Times New Roman"/>
          <w:sz w:val="22"/>
          <w:szCs w:val="22"/>
          <w:color w:val="383838"/>
        </w:rPr>
        <w:t>Taxes.</w:t>
      </w:r>
      <w:r>
        <w:rPr>
          <w:rFonts w:ascii="Times New Roman" w:cs="Times New Roman" w:eastAsia="Times New Roman" w:hAnsi="Times New Roman"/>
          <w:sz w:val="22"/>
          <w:szCs w:val="22"/>
          <w:color w:val="232323"/>
        </w:rPr>
        <w:t xml:space="preserve"> The Company or any of its applicable affiliates shall be entitled to withhold (or secure payment from you in lieu of withholding) the amount of any federal, state, local, or foreign taxes due with respect to any amount payable to you under this Agreement.</w:t>
      </w:r>
    </w:p>
    <w:p>
      <w:pPr>
        <w:spacing w:after="0" w:line="173" w:lineRule="exact"/>
        <w:rPr>
          <w:rFonts w:ascii="Times New Roman" w:cs="Times New Roman" w:eastAsia="Times New Roman" w:hAnsi="Times New Roman"/>
          <w:sz w:val="22"/>
          <w:szCs w:val="22"/>
          <w:color w:val="232323"/>
        </w:rPr>
      </w:pPr>
    </w:p>
    <w:p>
      <w:pPr>
        <w:ind w:left="20" w:right="20" w:firstLine="725"/>
        <w:spacing w:after="0" w:line="258" w:lineRule="auto"/>
        <w:tabs>
          <w:tab w:leader="none" w:pos="941" w:val="left"/>
        </w:tabs>
        <w:numPr>
          <w:ilvl w:val="2"/>
          <w:numId w:val="50"/>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u w:val="single" w:color="auto"/>
          <w:color w:val="383838"/>
        </w:rPr>
        <w:t>No</w:t>
      </w:r>
      <w:r>
        <w:rPr>
          <w:rFonts w:ascii="Times New Roman" w:cs="Times New Roman" w:eastAsia="Times New Roman" w:hAnsi="Times New Roman"/>
          <w:sz w:val="22"/>
          <w:szCs w:val="22"/>
          <w:color w:val="383838"/>
        </w:rPr>
        <w:t xml:space="preserve"> </w:t>
      </w:r>
      <w:r>
        <w:rPr>
          <w:rFonts w:ascii="Times New Roman" w:cs="Times New Roman" w:eastAsia="Times New Roman" w:hAnsi="Times New Roman"/>
          <w:sz w:val="22"/>
          <w:szCs w:val="22"/>
          <w:u w:val="single" w:color="auto"/>
          <w:color w:val="232323"/>
        </w:rPr>
        <w:t>Right to</w:t>
      </w:r>
      <w:r>
        <w:rPr>
          <w:rFonts w:ascii="Times New Roman" w:cs="Times New Roman" w:eastAsia="Times New Roman" w:hAnsi="Times New Roman"/>
          <w:sz w:val="22"/>
          <w:szCs w:val="22"/>
          <w:color w:val="383838"/>
        </w:rPr>
        <w:t xml:space="preserve"> </w:t>
      </w:r>
      <w:r>
        <w:rPr>
          <w:rFonts w:ascii="Times New Roman" w:cs="Times New Roman" w:eastAsia="Times New Roman" w:hAnsi="Times New Roman"/>
          <w:sz w:val="22"/>
          <w:szCs w:val="22"/>
          <w:u w:val="single" w:color="auto"/>
          <w:color w:val="383838"/>
        </w:rPr>
        <w:t>Continued Employment; N</w:t>
      </w:r>
      <w:r>
        <w:rPr>
          <w:rFonts w:ascii="Times New Roman" w:cs="Times New Roman" w:eastAsia="Times New Roman" w:hAnsi="Times New Roman"/>
          <w:sz w:val="22"/>
          <w:szCs w:val="22"/>
          <w:color w:val="383838"/>
        </w:rPr>
        <w:t xml:space="preserve">o </w:t>
      </w:r>
      <w:r>
        <w:rPr>
          <w:rFonts w:ascii="Times New Roman" w:cs="Times New Roman" w:eastAsia="Times New Roman" w:hAnsi="Times New Roman"/>
          <w:sz w:val="22"/>
          <w:szCs w:val="22"/>
          <w:color w:val="232323"/>
        </w:rPr>
        <w:t>Rights</w:t>
      </w:r>
      <w:r>
        <w:rPr>
          <w:rFonts w:ascii="Times New Roman" w:cs="Times New Roman" w:eastAsia="Times New Roman" w:hAnsi="Times New Roman"/>
          <w:sz w:val="22"/>
          <w:szCs w:val="22"/>
          <w:color w:val="383838"/>
        </w:rPr>
        <w:t xml:space="preserve"> as Equity </w:t>
      </w:r>
      <w:r>
        <w:rPr>
          <w:rFonts w:ascii="Times New Roman" w:cs="Times New Roman" w:eastAsia="Times New Roman" w:hAnsi="Times New Roman"/>
          <w:sz w:val="22"/>
          <w:szCs w:val="22"/>
          <w:color w:val="232323"/>
        </w:rPr>
        <w:t>Holder. Nothing in this Agreement will confer upon you</w:t>
      </w:r>
      <w:r>
        <w:rPr>
          <w:rFonts w:ascii="Times New Roman" w:cs="Times New Roman" w:eastAsia="Times New Roman" w:hAnsi="Times New Roman"/>
          <w:sz w:val="22"/>
          <w:szCs w:val="22"/>
          <w:color w:val="383838"/>
        </w:rPr>
        <w:t xml:space="preserve"> </w:t>
      </w:r>
      <w:r>
        <w:rPr>
          <w:rFonts w:ascii="Times New Roman" w:cs="Times New Roman" w:eastAsia="Times New Roman" w:hAnsi="Times New Roman"/>
          <w:sz w:val="22"/>
          <w:szCs w:val="22"/>
          <w:color w:val="232323"/>
        </w:rPr>
        <w:t>any right to continued employment with the Company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-3987800</wp:posOffset>
            </wp:positionV>
            <wp:extent cx="5314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-798830</wp:posOffset>
            </wp:positionV>
            <wp:extent cx="10896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89660" cy="8255"/>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-198755</wp:posOffset>
            </wp:positionV>
            <wp:extent cx="14935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2323"/>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619760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08" w:right="419" w:bottom="1440" w:gutter="0" w:footer="0" w:header="0"/>
        </w:sectPr>
      </w:pPr>
    </w:p>
    <w:bookmarkStart w:id="61" w:name="page62"/>
    <w:bookmarkEnd w:id="61"/>
    <w:p>
      <w:pPr>
        <w:jc w:val="both"/>
        <w:ind w:left="40" w:firstLine="1"/>
        <w:spacing w:after="0" w:line="258" w:lineRule="auto"/>
        <w:rPr>
          <w:sz w:val="20"/>
          <w:szCs w:val="20"/>
          <w:color w:val="auto"/>
        </w:rPr>
      </w:pPr>
      <w:r>
        <w:rPr>
          <w:rFonts w:ascii="Times New Roman" w:cs="Times New Roman" w:eastAsia="Times New Roman" w:hAnsi="Times New Roman"/>
          <w:sz w:val="22"/>
          <w:szCs w:val="22"/>
          <w:color w:val="232323"/>
        </w:rPr>
        <w:t>its subsidiaries or interfere in any way with the right of the Company or its subsidiaries to terminate your employment at any time for any reason. This Agreement will not in any way entitle you to any rights as an equity holder of the Company.</w:t>
      </w:r>
    </w:p>
    <w:p>
      <w:pPr>
        <w:spacing w:after="0" w:line="158" w:lineRule="exact"/>
        <w:rPr>
          <w:sz w:val="20"/>
          <w:szCs w:val="20"/>
          <w:color w:val="auto"/>
        </w:rPr>
      </w:pPr>
    </w:p>
    <w:p>
      <w:pPr>
        <w:jc w:val="both"/>
        <w:ind w:left="40" w:firstLine="764"/>
        <w:spacing w:after="0" w:line="239" w:lineRule="auto"/>
        <w:rPr>
          <w:sz w:val="20"/>
          <w:szCs w:val="20"/>
          <w:color w:val="auto"/>
        </w:rPr>
      </w:pPr>
      <w:r>
        <w:rPr>
          <w:rFonts w:ascii="Times New Roman" w:cs="Times New Roman" w:eastAsia="Times New Roman" w:hAnsi="Times New Roman"/>
          <w:sz w:val="22"/>
          <w:szCs w:val="22"/>
          <w:color w:val="232323"/>
        </w:rPr>
        <w:t xml:space="preserve">6.Other </w:t>
      </w:r>
      <w:r>
        <w:rPr>
          <w:rFonts w:ascii="Times New Roman" w:cs="Times New Roman" w:eastAsia="Times New Roman" w:hAnsi="Times New Roman"/>
          <w:sz w:val="22"/>
          <w:szCs w:val="22"/>
          <w:color w:val="383838"/>
        </w:rPr>
        <w:t>Benefits.</w:t>
      </w:r>
      <w:r>
        <w:rPr>
          <w:rFonts w:ascii="Times New Roman" w:cs="Times New Roman" w:eastAsia="Times New Roman" w:hAnsi="Times New Roman"/>
          <w:sz w:val="22"/>
          <w:szCs w:val="22"/>
          <w:color w:val="232323"/>
        </w:rPr>
        <w:t xml:space="preserve"> Any Retention Bonus payable hereunder is a special incentive payment to you and will not be taken into account in computing the amount of salary or compensation for purposes of determining any bonus, incentive, pension, retirement, death, or other benefit under any other bonus, incentive, pension, retirement, insurance, or other employee benefit plan of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-493395</wp:posOffset>
            </wp:positionV>
            <wp:extent cx="8375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47" w:lineRule="exact"/>
        <w:rPr>
          <w:sz w:val="20"/>
          <w:szCs w:val="20"/>
          <w:color w:val="auto"/>
        </w:rPr>
      </w:pPr>
    </w:p>
    <w:p>
      <w:pPr>
        <w:jc w:val="both"/>
        <w:ind w:left="20" w:firstLine="761"/>
        <w:spacing w:after="0" w:line="242" w:lineRule="auto"/>
        <w:tabs>
          <w:tab w:leader="none" w:pos="957" w:val="left"/>
        </w:tabs>
        <w:numPr>
          <w:ilvl w:val="0"/>
          <w:numId w:val="51"/>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u w:val="single" w:color="auto"/>
          <w:color w:val="232323"/>
        </w:rPr>
        <w:t>Section 409A.</w:t>
      </w:r>
      <w:r>
        <w:rPr>
          <w:rFonts w:ascii="Times New Roman" w:cs="Times New Roman" w:eastAsia="Times New Roman" w:hAnsi="Times New Roman"/>
          <w:sz w:val="22"/>
          <w:szCs w:val="22"/>
          <w:color w:val="232323"/>
        </w:rPr>
        <w:t xml:space="preserve"> It is intended that this Agreement be exempt from the provisions of Section 409A of the Internal Revenue Code of 1986, as amended, and the Treasury Regulations and guidance promulgated thereunder (collectively, </w:t>
      </w:r>
      <w:r>
        <w:rPr>
          <w:rFonts w:ascii="Times New Roman" w:cs="Times New Roman" w:eastAsia="Times New Roman" w:hAnsi="Times New Roman"/>
          <w:sz w:val="20"/>
          <w:szCs w:val="20"/>
          <w:b w:val="1"/>
          <w:bCs w:val="1"/>
          <w:i w:val="1"/>
          <w:iCs w:val="1"/>
          <w:color w:val="232323"/>
        </w:rPr>
        <w:t>"Section</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0"/>
          <w:szCs w:val="20"/>
          <w:b w:val="1"/>
          <w:bCs w:val="1"/>
          <w:i w:val="1"/>
          <w:iCs w:val="1"/>
          <w:color w:val="232323"/>
        </w:rPr>
        <w:t xml:space="preserve">409A"). </w:t>
      </w:r>
      <w:r>
        <w:rPr>
          <w:rFonts w:ascii="Times New Roman" w:cs="Times New Roman" w:eastAsia="Times New Roman" w:hAnsi="Times New Roman"/>
          <w:sz w:val="21"/>
          <w:szCs w:val="21"/>
          <w:color w:val="232323"/>
        </w:rPr>
        <w:t>Whenever a payment under this Agreement specifies a payment period with reference to a number of days, the actual</w:t>
      </w:r>
      <w:r>
        <w:rPr>
          <w:rFonts w:ascii="Times New Roman" w:cs="Times New Roman" w:eastAsia="Times New Roman" w:hAnsi="Times New Roman"/>
          <w:sz w:val="20"/>
          <w:szCs w:val="20"/>
          <w:b w:val="1"/>
          <w:bCs w:val="1"/>
          <w:i w:val="1"/>
          <w:iCs w:val="1"/>
          <w:color w:val="232323"/>
        </w:rPr>
        <w:t xml:space="preserve"> </w:t>
      </w:r>
      <w:r>
        <w:rPr>
          <w:rFonts w:ascii="Times New Roman" w:cs="Times New Roman" w:eastAsia="Times New Roman" w:hAnsi="Times New Roman"/>
          <w:sz w:val="21"/>
          <w:szCs w:val="21"/>
          <w:color w:val="232323"/>
        </w:rPr>
        <w:t>date of payment within the specified period shall be within the sole discretion of the Board. In no event whatsoever shall the Company or any of its affiliates be liable for any additional tax, interest, income inclusion, or other penalty that may be imposed on you by Section 409A or for damages for failing to comply with Section 409A.</w:t>
      </w:r>
    </w:p>
    <w:p>
      <w:pPr>
        <w:spacing w:after="0" w:line="178" w:lineRule="exact"/>
        <w:rPr>
          <w:rFonts w:ascii="Times New Roman" w:cs="Times New Roman" w:eastAsia="Times New Roman" w:hAnsi="Times New Roman"/>
          <w:sz w:val="22"/>
          <w:szCs w:val="22"/>
          <w:color w:val="232323"/>
        </w:rPr>
      </w:pPr>
    </w:p>
    <w:p>
      <w:pPr>
        <w:jc w:val="both"/>
        <w:ind w:left="20" w:firstLine="761"/>
        <w:spacing w:after="0" w:line="244" w:lineRule="auto"/>
        <w:tabs>
          <w:tab w:leader="none" w:pos="957" w:val="left"/>
        </w:tabs>
        <w:numPr>
          <w:ilvl w:val="0"/>
          <w:numId w:val="51"/>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u w:val="single" w:color="auto"/>
          <w:color w:val="232323"/>
        </w:rPr>
        <w:t>Governing Law.</w:t>
      </w:r>
      <w:r>
        <w:rPr>
          <w:rFonts w:ascii="Times New Roman" w:cs="Times New Roman" w:eastAsia="Times New Roman" w:hAnsi="Times New Roman"/>
          <w:sz w:val="22"/>
          <w:szCs w:val="22"/>
          <w:color w:val="232323"/>
        </w:rPr>
        <w:t xml:space="preserve"> This Agreement and any claim, controversy, or dispute arising under or related to this Agreement or the relationship of the parties will be governed by and construed in accordance with the laws of the State of Colorado, without giving effect to any choice of law or conflict of law rules or provisions.</w:t>
      </w:r>
    </w:p>
    <w:p>
      <w:pPr>
        <w:spacing w:after="0" w:line="173" w:lineRule="exact"/>
        <w:rPr>
          <w:rFonts w:ascii="Times New Roman" w:cs="Times New Roman" w:eastAsia="Times New Roman" w:hAnsi="Times New Roman"/>
          <w:sz w:val="22"/>
          <w:szCs w:val="22"/>
          <w:color w:val="232323"/>
        </w:rPr>
      </w:pPr>
    </w:p>
    <w:p>
      <w:pPr>
        <w:jc w:val="both"/>
        <w:ind w:firstLine="772"/>
        <w:spacing w:after="0" w:line="235" w:lineRule="auto"/>
        <w:tabs>
          <w:tab w:leader="none" w:pos="957" w:val="left"/>
        </w:tabs>
        <w:numPr>
          <w:ilvl w:val="0"/>
          <w:numId w:val="51"/>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 xml:space="preserve">Release; </w:t>
      </w:r>
      <w:r>
        <w:rPr>
          <w:rFonts w:ascii="Times New Roman" w:cs="Times New Roman" w:eastAsia="Times New Roman" w:hAnsi="Times New Roman"/>
          <w:sz w:val="22"/>
          <w:szCs w:val="22"/>
          <w:color w:val="383838"/>
        </w:rPr>
        <w:t>Restrictive Covenants.</w:t>
      </w:r>
      <w:r>
        <w:rPr>
          <w:rFonts w:ascii="Times New Roman" w:cs="Times New Roman" w:eastAsia="Times New Roman" w:hAnsi="Times New Roman"/>
          <w:sz w:val="22"/>
          <w:szCs w:val="22"/>
          <w:color w:val="232323"/>
        </w:rPr>
        <w:t xml:space="preserve"> Payment of any portion of the Retention Bonus hereunder is subject to your timely execution and non-revocation (in each case, within any timeframes provided by the Company for doing so) of a general release of claims in a form reasonably prescribed by the Company and your continued compliance with your Continuing Obligations (as defined below). Any unpaid portion of the Retention Bonus shall be automatically forfeited to the extent you violate any noncompetition, nonsolicitation, or any other restrictive covenants that may be contained in any Employment Agreement, restrictive covenant agreement, or other agreement between the Company or any of its affiliates and you, whether entered into prior to, on, or following the date hereof (collectively, your </w:t>
      </w:r>
      <w:r>
        <w:rPr>
          <w:rFonts w:ascii="Times New Roman" w:cs="Times New Roman" w:eastAsia="Times New Roman" w:hAnsi="Times New Roman"/>
          <w:sz w:val="20"/>
          <w:szCs w:val="20"/>
          <w:b w:val="1"/>
          <w:bCs w:val="1"/>
          <w:i w:val="1"/>
          <w:iCs w:val="1"/>
          <w:color w:val="232323"/>
        </w:rPr>
        <w:t>''Continuing Obligations")</w:t>
      </w:r>
      <w:r>
        <w:rPr>
          <w:rFonts w:ascii="Times New Roman" w:cs="Times New Roman" w:eastAsia="Times New Roman" w:hAnsi="Times New Roman"/>
          <w:sz w:val="22"/>
          <w:szCs w:val="22"/>
          <w:color w:val="232323"/>
        </w:rPr>
        <w:t xml:space="preserve"> that would give rise to a right of the Company to terminate you for Cause, and you hereby reaffirm all such Continuing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-1111885</wp:posOffset>
            </wp:positionV>
            <wp:extent cx="17405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40535" cy="8890"/>
                    </a:xfrm>
                    <a:prstGeom prst="rect">
                      <a:avLst/>
                    </a:prstGeom>
                    <a:noFill/>
                  </pic:spPr>
                </pic:pic>
              </a:graphicData>
            </a:graphic>
          </wp:anchor>
        </w:drawing>
      </w:r>
    </w:p>
    <w:p>
      <w:pPr>
        <w:spacing w:after="0" w:line="158" w:lineRule="exact"/>
        <w:rPr>
          <w:sz w:val="20"/>
          <w:szCs w:val="20"/>
          <w:color w:val="auto"/>
        </w:rPr>
      </w:pPr>
    </w:p>
    <w:p>
      <w:pPr>
        <w:jc w:val="both"/>
        <w:ind w:firstLine="764"/>
        <w:spacing w:after="0" w:line="244" w:lineRule="auto"/>
        <w:rPr>
          <w:sz w:val="20"/>
          <w:szCs w:val="20"/>
          <w:color w:val="auto"/>
        </w:rPr>
      </w:pPr>
      <w:r>
        <w:rPr>
          <w:rFonts w:ascii="Times New Roman" w:cs="Times New Roman" w:eastAsia="Times New Roman" w:hAnsi="Times New Roman"/>
          <w:sz w:val="22"/>
          <w:szCs w:val="22"/>
          <w:color w:val="232323"/>
        </w:rPr>
        <w:t>10.</w:t>
      </w:r>
      <w:r>
        <w:rPr>
          <w:rFonts w:ascii="Times New Roman" w:cs="Times New Roman" w:eastAsia="Times New Roman" w:hAnsi="Times New Roman"/>
          <w:sz w:val="22"/>
          <w:szCs w:val="22"/>
          <w:u w:val="single" w:color="auto"/>
          <w:color w:val="232323"/>
        </w:rPr>
        <w:t>Severability.</w:t>
      </w:r>
      <w:r>
        <w:rPr>
          <w:rFonts w:ascii="Times New Roman" w:cs="Times New Roman" w:eastAsia="Times New Roman" w:hAnsi="Times New Roman"/>
          <w:sz w:val="22"/>
          <w:szCs w:val="22"/>
          <w:color w:val="232323"/>
        </w:rPr>
        <w:t xml:space="preserve"> In the event that any provision of this Agreement is deemed to be illegal or invalid for any reason, said illegality or invalidity will not affect the remaining parts hereof, but this Agreement will be construed and enforced as if such illegal and invalid provision never existed.</w:t>
      </w:r>
    </w:p>
    <w:p>
      <w:pPr>
        <w:spacing w:after="0" w:line="187" w:lineRule="exact"/>
        <w:rPr>
          <w:sz w:val="20"/>
          <w:szCs w:val="20"/>
          <w:color w:val="auto"/>
        </w:rPr>
      </w:pPr>
    </w:p>
    <w:p>
      <w:pPr>
        <w:jc w:val="both"/>
        <w:ind w:right="20" w:firstLine="764"/>
        <w:spacing w:after="0" w:line="238" w:lineRule="auto"/>
        <w:rPr>
          <w:sz w:val="20"/>
          <w:szCs w:val="20"/>
          <w:color w:val="auto"/>
        </w:rPr>
      </w:pPr>
      <w:r>
        <w:rPr>
          <w:rFonts w:ascii="Times New Roman" w:cs="Times New Roman" w:eastAsia="Times New Roman" w:hAnsi="Times New Roman"/>
          <w:sz w:val="22"/>
          <w:szCs w:val="22"/>
          <w:color w:val="232323"/>
        </w:rPr>
        <w:t>11.</w:t>
      </w:r>
      <w:r>
        <w:rPr>
          <w:rFonts w:ascii="Times New Roman" w:cs="Times New Roman" w:eastAsia="Times New Roman" w:hAnsi="Times New Roman"/>
          <w:sz w:val="22"/>
          <w:szCs w:val="22"/>
          <w:u w:val="single" w:color="auto"/>
          <w:color w:val="383838"/>
        </w:rPr>
        <w:t>No Assignment; Successors.</w:t>
      </w:r>
      <w:r>
        <w:rPr>
          <w:rFonts w:ascii="Times New Roman" w:cs="Times New Roman" w:eastAsia="Times New Roman" w:hAnsi="Times New Roman"/>
          <w:sz w:val="22"/>
          <w:szCs w:val="22"/>
          <w:color w:val="232323"/>
        </w:rPr>
        <w:t xml:space="preserve"> Other than your rights under this Agreement that are assignable by you to your estate or legal guardian, this Agreement is personal to each of the parties hereto. Except as provided in this </w:t>
      </w:r>
      <w:r>
        <w:rPr>
          <w:rFonts w:ascii="Times New Roman" w:cs="Times New Roman" w:eastAsia="Times New Roman" w:hAnsi="Times New Roman"/>
          <w:sz w:val="22"/>
          <w:szCs w:val="22"/>
          <w:color w:val="383838"/>
        </w:rPr>
        <w:t>Section</w:t>
      </w:r>
      <w:r>
        <w:rPr>
          <w:rFonts w:ascii="Times New Roman" w:cs="Times New Roman" w:eastAsia="Times New Roman" w:hAnsi="Times New Roman"/>
          <w:sz w:val="22"/>
          <w:szCs w:val="22"/>
          <w:color w:val="232323"/>
        </w:rPr>
        <w:t xml:space="preserve"> 11, no party may assign or delegate any rights or obligations hereunder without first obtaining the advance written consent of the other party hereto. Any purported assignment or delegation by you in violation of the foregoing will be null and void </w:t>
      </w:r>
      <w:r>
        <w:rPr>
          <w:rFonts w:ascii="Times New Roman" w:cs="Times New Roman" w:eastAsia="Times New Roman" w:hAnsi="Times New Roman"/>
          <w:sz w:val="20"/>
          <w:szCs w:val="20"/>
          <w:i w:val="1"/>
          <w:iCs w:val="1"/>
          <w:color w:val="232323"/>
        </w:rPr>
        <w:t>ab initio</w:t>
      </w:r>
      <w:r>
        <w:rPr>
          <w:rFonts w:ascii="Times New Roman" w:cs="Times New Roman" w:eastAsia="Times New Roman" w:hAnsi="Times New Roman"/>
          <w:sz w:val="22"/>
          <w:szCs w:val="22"/>
          <w:color w:val="232323"/>
        </w:rPr>
        <w:t xml:space="preserve"> and of no force or effect. The Company may assign this Agreement to an affiliate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-495300</wp:posOffset>
            </wp:positionV>
            <wp:extent cx="59118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118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232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618490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1381" w:right="419" w:bottom="1440" w:gutter="0" w:footer="0" w:header="0"/>
        </w:sectPr>
      </w:pPr>
    </w:p>
    <w:bookmarkStart w:id="62" w:name="page63"/>
    <w:bookmarkEnd w:id="62"/>
    <w:p>
      <w:pPr>
        <w:jc w:val="both"/>
        <w:ind w:right="40" w:firstLine="3"/>
        <w:spacing w:after="0" w:line="258" w:lineRule="auto"/>
        <w:rPr>
          <w:sz w:val="20"/>
          <w:szCs w:val="20"/>
          <w:color w:val="auto"/>
        </w:rPr>
      </w:pPr>
      <w:r>
        <w:rPr>
          <w:rFonts w:ascii="Times New Roman" w:cs="Times New Roman" w:eastAsia="Times New Roman" w:hAnsi="Times New Roman"/>
          <w:sz w:val="22"/>
          <w:szCs w:val="22"/>
          <w:color w:val="232323"/>
        </w:rPr>
        <w:t>Company or to any successor to all or substantially all of the business and/or assets of the Company that assumes in writing, or by operation of law, the obligations of the Company hereunder.</w:t>
      </w:r>
    </w:p>
    <w:p>
      <w:pPr>
        <w:spacing w:after="0" w:line="145" w:lineRule="exact"/>
        <w:rPr>
          <w:sz w:val="20"/>
          <w:szCs w:val="20"/>
          <w:color w:val="auto"/>
        </w:rPr>
      </w:pPr>
    </w:p>
    <w:p>
      <w:pPr>
        <w:jc w:val="both"/>
        <w:ind w:right="40" w:firstLine="734"/>
        <w:spacing w:after="0" w:line="258" w:lineRule="auto"/>
        <w:rPr>
          <w:sz w:val="20"/>
          <w:szCs w:val="20"/>
          <w:color w:val="auto"/>
        </w:rPr>
      </w:pPr>
      <w:r>
        <w:rPr>
          <w:rFonts w:ascii="Times New Roman" w:cs="Times New Roman" w:eastAsia="Times New Roman" w:hAnsi="Times New Roman"/>
          <w:sz w:val="22"/>
          <w:szCs w:val="22"/>
          <w:color w:val="232323"/>
        </w:rPr>
        <w:t>12.</w:t>
      </w:r>
      <w:r>
        <w:rPr>
          <w:rFonts w:ascii="Times New Roman" w:cs="Times New Roman" w:eastAsia="Times New Roman" w:hAnsi="Times New Roman"/>
          <w:sz w:val="22"/>
          <w:szCs w:val="22"/>
          <w:u w:val="single" w:color="auto"/>
          <w:color w:val="232323"/>
        </w:rPr>
        <w:t>Counterparts.</w:t>
      </w:r>
      <w:r>
        <w:rPr>
          <w:rFonts w:ascii="Times New Roman" w:cs="Times New Roman" w:eastAsia="Times New Roman" w:hAnsi="Times New Roman"/>
          <w:sz w:val="22"/>
          <w:szCs w:val="22"/>
          <w:color w:val="232323"/>
        </w:rPr>
        <w:t xml:space="preserve"> This Agreement may be executed in one or more counterparts, each of which will be deemed to be an original but all of which taken together will constitute one and the same instrument.</w:t>
      </w:r>
    </w:p>
    <w:p>
      <w:pPr>
        <w:spacing w:after="0" w:line="158" w:lineRule="exact"/>
        <w:rPr>
          <w:sz w:val="20"/>
          <w:szCs w:val="20"/>
          <w:color w:val="auto"/>
        </w:rPr>
      </w:pPr>
    </w:p>
    <w:p>
      <w:pPr>
        <w:jc w:val="both"/>
        <w:ind w:right="60" w:firstLine="734"/>
        <w:spacing w:after="0" w:line="244" w:lineRule="auto"/>
        <w:rPr>
          <w:sz w:val="20"/>
          <w:szCs w:val="20"/>
          <w:color w:val="auto"/>
        </w:rPr>
      </w:pPr>
      <w:r>
        <w:rPr>
          <w:rFonts w:ascii="Times New Roman" w:cs="Times New Roman" w:eastAsia="Times New Roman" w:hAnsi="Times New Roman"/>
          <w:sz w:val="22"/>
          <w:szCs w:val="22"/>
          <w:color w:val="232323"/>
        </w:rPr>
        <w:t>13.</w:t>
      </w:r>
      <w:r>
        <w:rPr>
          <w:rFonts w:ascii="Times New Roman" w:cs="Times New Roman" w:eastAsia="Times New Roman" w:hAnsi="Times New Roman"/>
          <w:sz w:val="22"/>
          <w:szCs w:val="22"/>
          <w:color w:val="3B3B3B"/>
        </w:rPr>
        <w:t>Unfunded</w:t>
      </w:r>
      <w:r>
        <w:rPr>
          <w:rFonts w:ascii="Times New Roman" w:cs="Times New Roman" w:eastAsia="Times New Roman" w:hAnsi="Times New Roman"/>
          <w:sz w:val="22"/>
          <w:szCs w:val="22"/>
          <w:color w:val="232323"/>
        </w:rPr>
        <w:t xml:space="preserve"> Arrangement. To the extent that any person acquires a right to receive payments under this Agreement, such right shall be no greater than the right of an unsecured general creditor. All payments to be made hereunder shall be paid from general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-343535</wp:posOffset>
            </wp:positionV>
            <wp:extent cx="134048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53" w:lineRule="exact"/>
        <w:rPr>
          <w:sz w:val="20"/>
          <w:szCs w:val="20"/>
          <w:color w:val="auto"/>
        </w:rPr>
      </w:pPr>
    </w:p>
    <w:p>
      <w:pPr>
        <w:jc w:val="both"/>
        <w:ind w:right="20" w:firstLine="734"/>
        <w:spacing w:after="0" w:line="235" w:lineRule="auto"/>
        <w:rPr>
          <w:sz w:val="20"/>
          <w:szCs w:val="20"/>
          <w:color w:val="auto"/>
        </w:rPr>
      </w:pPr>
      <w:r>
        <w:rPr>
          <w:rFonts w:ascii="Times New Roman" w:cs="Times New Roman" w:eastAsia="Times New Roman" w:hAnsi="Times New Roman"/>
          <w:sz w:val="22"/>
          <w:szCs w:val="22"/>
          <w:color w:val="232323"/>
        </w:rPr>
        <w:t>14.</w:t>
      </w:r>
      <w:r>
        <w:rPr>
          <w:rFonts w:ascii="Times New Roman" w:cs="Times New Roman" w:eastAsia="Times New Roman" w:hAnsi="Times New Roman"/>
          <w:sz w:val="22"/>
          <w:szCs w:val="22"/>
          <w:u w:val="single" w:color="auto"/>
          <w:color w:val="232323"/>
        </w:rPr>
        <w:t>No Obligation to Consummate</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2"/>
          <w:szCs w:val="22"/>
          <w:u w:val="single" w:color="auto"/>
          <w:color w:val="3B3B3B"/>
        </w:rPr>
        <w:t>Transaction;</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2"/>
          <w:szCs w:val="22"/>
          <w:u w:val="single" w:color="auto"/>
          <w:color w:val="232323"/>
        </w:rPr>
        <w:t>Company Discretion.</w:t>
      </w:r>
      <w:r>
        <w:rPr>
          <w:rFonts w:ascii="Times New Roman" w:cs="Times New Roman" w:eastAsia="Times New Roman" w:hAnsi="Times New Roman"/>
          <w:sz w:val="22"/>
          <w:szCs w:val="22"/>
          <w:color w:val="232323"/>
        </w:rPr>
        <w:t xml:space="preserve"> No provision of this Agreement will be interpreted to impose an obligation on the Company or any of its subsidiaries or affiliates to consummate the Transaction. The decision to consummate the Transaction, and all terms and conditions of any such transaction, including the amount, timing, and form of consideration to be provided in connection therewith, will be governed solely by the Purchase Agreement and documents entered into in connection therewith. In addition, this Agreement shall not be interpreted or construed so as to limit or prevent the Company or any of its subsidiaries or affiliates from taking any actions with respect to the operation or conduct of their business or entering into any transaction that they deem appropriate or in their best interests.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2323"/>
        </w:rPr>
        <w:t>15.</w:t>
      </w:r>
      <w:r>
        <w:rPr>
          <w:rFonts w:ascii="Times New Roman" w:cs="Times New Roman" w:eastAsia="Times New Roman" w:hAnsi="Times New Roman"/>
          <w:sz w:val="16"/>
          <w:szCs w:val="16"/>
          <w:b w:val="1"/>
          <w:bCs w:val="1"/>
          <w:color w:val="232323"/>
        </w:rPr>
        <w:t>BY EXECUTION OF THIS AGREEMENT, YOU ACKNOWLEDGE THAT YOU HAVE HAD AN OPPORTUNITY TO OBTAIN THE</w:t>
      </w:r>
    </w:p>
    <w:p>
      <w:pPr>
        <w:spacing w:after="0" w:line="22" w:lineRule="exact"/>
        <w:rPr>
          <w:sz w:val="20"/>
          <w:szCs w:val="20"/>
          <w:color w:val="auto"/>
        </w:rPr>
      </w:pPr>
    </w:p>
    <w:p>
      <w:pPr>
        <w:jc w:val="both"/>
        <w:ind w:left="20" w:right="20"/>
        <w:spacing w:after="0" w:line="271" w:lineRule="auto"/>
        <w:rPr>
          <w:sz w:val="20"/>
          <w:szCs w:val="20"/>
          <w:color w:val="auto"/>
        </w:rPr>
      </w:pPr>
      <w:r>
        <w:rPr>
          <w:rFonts w:ascii="Times New Roman" w:cs="Times New Roman" w:eastAsia="Times New Roman" w:hAnsi="Times New Roman"/>
          <w:sz w:val="16"/>
          <w:szCs w:val="16"/>
          <w:b w:val="1"/>
          <w:bCs w:val="1"/>
          <w:color w:val="232323"/>
        </w:rPr>
        <w:t xml:space="preserve">ADVICE OF YOUR OWN LEGAL COUNSEL PRIOR TO EXECUTING THIS AGREEMENT, AND FULLY UNDERSTAND AND ACCEPT ALL OF THE PROVISIONS OF THIS </w:t>
      </w:r>
      <w:r>
        <w:rPr>
          <w:rFonts w:ascii="Times New Roman" w:cs="Times New Roman" w:eastAsia="Times New Roman" w:hAnsi="Times New Roman"/>
          <w:sz w:val="16"/>
          <w:szCs w:val="16"/>
          <w:b w:val="1"/>
          <w:bCs w:val="1"/>
          <w:color w:val="3B3B3B"/>
        </w:rPr>
        <w:t>AGREEMENT. YOU</w:t>
      </w:r>
      <w:r>
        <w:rPr>
          <w:rFonts w:ascii="Times New Roman" w:cs="Times New Roman" w:eastAsia="Times New Roman" w:hAnsi="Times New Roman"/>
          <w:sz w:val="16"/>
          <w:szCs w:val="16"/>
          <w:b w:val="1"/>
          <w:bCs w:val="1"/>
          <w:color w:val="232323"/>
        </w:rPr>
        <w:t xml:space="preserve"> ACKNOWLEDGE THAT NONE OF </w:t>
      </w:r>
      <w:r>
        <w:rPr>
          <w:rFonts w:ascii="Times New Roman" w:cs="Times New Roman" w:eastAsia="Times New Roman" w:hAnsi="Times New Roman"/>
          <w:sz w:val="16"/>
          <w:szCs w:val="16"/>
          <w:b w:val="1"/>
          <w:bCs w:val="1"/>
          <w:color w:val="3B3B3B"/>
        </w:rPr>
        <w:t>THE COMP</w:t>
      </w:r>
      <w:r>
        <w:rPr>
          <w:rFonts w:ascii="Times New Roman" w:cs="Times New Roman" w:eastAsia="Times New Roman" w:hAnsi="Times New Roman"/>
          <w:sz w:val="16"/>
          <w:szCs w:val="16"/>
          <w:b w:val="1"/>
          <w:bCs w:val="1"/>
          <w:color w:val="232323"/>
        </w:rPr>
        <w:t>ANY, SATCOM DIRECT, NOR ANY OF THEIR RESPECTIVE EQUITYHOLDERS, AFFILIATES OR REPRESENTATIVES, HAVE PROVIDED OR ARE PROVIDING YOU WITH ANY LEGAL ADVICE, AND YOU HAVE BEEN ADVISED TO CONSULT WITH YOUR OWN LEGAL ADVISORS WITH RESPECT TO YOUR RIGHTS AND OBLIGATIONS UNDER THIS AGREEMENT AND DOCUMENTS ENTERED INTO IN CONNECTION HEREWITH.</w:t>
      </w:r>
    </w:p>
    <w:p>
      <w:pPr>
        <w:spacing w:after="0" w:line="185" w:lineRule="exact"/>
        <w:rPr>
          <w:sz w:val="20"/>
          <w:szCs w:val="20"/>
          <w:color w:val="auto"/>
        </w:rPr>
      </w:pPr>
    </w:p>
    <w:p>
      <w:pPr>
        <w:jc w:val="both"/>
        <w:ind w:left="20" w:firstLine="743"/>
        <w:spacing w:after="0" w:line="235" w:lineRule="auto"/>
        <w:rPr>
          <w:sz w:val="20"/>
          <w:szCs w:val="20"/>
          <w:color w:val="auto"/>
        </w:rPr>
      </w:pPr>
      <w:r>
        <w:rPr>
          <w:rFonts w:ascii="Times New Roman" w:cs="Times New Roman" w:eastAsia="Times New Roman" w:hAnsi="Times New Roman"/>
          <w:sz w:val="22"/>
          <w:szCs w:val="22"/>
          <w:color w:val="232323"/>
        </w:rPr>
        <w:t>16.</w:t>
      </w:r>
      <w:r>
        <w:rPr>
          <w:rFonts w:ascii="Times New Roman" w:cs="Times New Roman" w:eastAsia="Times New Roman" w:hAnsi="Times New Roman"/>
          <w:sz w:val="22"/>
          <w:szCs w:val="22"/>
          <w:u w:val="single" w:color="auto"/>
          <w:color w:val="3B3B3B"/>
        </w:rPr>
        <w:t>Entire</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2"/>
          <w:szCs w:val="22"/>
          <w:u w:val="single" w:color="auto"/>
          <w:color w:val="232323"/>
        </w:rPr>
        <w:t>Agreement;</w:t>
      </w:r>
      <w:r>
        <w:rPr>
          <w:rFonts w:ascii="Times New Roman" w:cs="Times New Roman" w:eastAsia="Times New Roman" w:hAnsi="Times New Roman"/>
          <w:sz w:val="22"/>
          <w:szCs w:val="22"/>
          <w:color w:val="232323"/>
        </w:rPr>
        <w:t xml:space="preserve"> </w:t>
      </w:r>
      <w:r>
        <w:rPr>
          <w:rFonts w:ascii="Times New Roman" w:cs="Times New Roman" w:eastAsia="Times New Roman" w:hAnsi="Times New Roman"/>
          <w:sz w:val="22"/>
          <w:szCs w:val="22"/>
          <w:u w:val="single" w:color="auto"/>
          <w:color w:val="3B3B3B"/>
        </w:rPr>
        <w:t>Amendment.</w:t>
      </w:r>
      <w:r>
        <w:rPr>
          <w:rFonts w:ascii="Times New Roman" w:cs="Times New Roman" w:eastAsia="Times New Roman" w:hAnsi="Times New Roman"/>
          <w:sz w:val="22"/>
          <w:szCs w:val="22"/>
          <w:color w:val="232323"/>
        </w:rPr>
        <w:t xml:space="preserve"> This Agreement, the Termination Agreement, the Employment Agreement, and any Additional Agreement constitutes the entire agreement by you, on the one hand, and the Company and its affiliates (including Satcom Direct), on the other hand, with respect to the subject matter hereof, and supersedes any and all prior agreements or understandings between you and the Company and/or its affiliates (including Satcom Direct) with respect to the subject matter hereof, whether written or oral, including the Plan and the Award Agreement. The Company may amend, modify, or terminate this Agreement for the purpose of meeting or addressing any changes in legal requirements, except that no amendment or alteration that would materially adversely affect your rights under this Agreement shall be made without your consent.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232323"/>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1913255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1260" w:right="4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color w:val="232323"/>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618490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7" w:right="1440" w:bottom="1440" w:gutter="0" w:footer="0" w:header="0"/>
        </w:sectPr>
      </w:pPr>
    </w:p>
    <w:bookmarkStart w:id="64" w:name="page65"/>
    <w:bookmarkEnd w:id="64"/>
    <w:p>
      <w:pPr>
        <w:spacing w:after="0" w:line="3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232323"/>
        </w:rPr>
        <w:t>On behalf the Company, I look forward to your contributions to the growth and success of the Company and its business.</w:t>
      </w:r>
    </w:p>
    <w:p>
      <w:pPr>
        <w:spacing w:after="0" w:line="21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232323"/>
        </w:rPr>
        <w:t>Very truly yours,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232323"/>
        </w:rPr>
        <w:t>Gogo Inc.</w:t>
      </w:r>
    </w:p>
    <w:p>
      <w:pPr>
        <w:spacing w:after="0" w:line="200" w:lineRule="exact"/>
        <w:rPr>
          <w:sz w:val="20"/>
          <w:szCs w:val="20"/>
          <w:color w:val="auto"/>
        </w:rPr>
      </w:pPr>
    </w:p>
    <w:p>
      <w:pPr>
        <w:spacing w:after="0" w:line="27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By:_</w:t>
      </w:r>
      <w:r>
        <w:rPr>
          <w:rFonts w:ascii="Times New Roman" w:cs="Times New Roman" w:eastAsia="Times New Roman" w:hAnsi="Times New Roman"/>
          <w:sz w:val="19"/>
          <w:szCs w:val="19"/>
          <w:u w:val="single" w:color="auto"/>
          <w:color w:val="auto"/>
        </w:rPr>
        <w:t>/s/ Crystal L. Gordon</w:t>
      </w:r>
    </w:p>
    <w:p>
      <w:pPr>
        <w:spacing w:after="0" w:line="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232323"/>
        </w:rPr>
        <w:t>Name: C</w:t>
      </w:r>
      <w:r>
        <w:rPr>
          <w:rFonts w:ascii="Times New Roman" w:cs="Times New Roman" w:eastAsia="Times New Roman" w:hAnsi="Times New Roman"/>
          <w:sz w:val="21"/>
          <w:szCs w:val="21"/>
          <w:color w:val="383838"/>
        </w:rPr>
        <w:t>rystal</w:t>
      </w:r>
      <w:r>
        <w:rPr>
          <w:rFonts w:ascii="Times New Roman" w:cs="Times New Roman" w:eastAsia="Times New Roman" w:hAnsi="Times New Roman"/>
          <w:sz w:val="21"/>
          <w:szCs w:val="21"/>
          <w:color w:val="232323"/>
        </w:rPr>
        <w:t xml:space="preserve"> L. Gordon Title: Vi</w:t>
      </w:r>
      <w:r>
        <w:rPr>
          <w:rFonts w:ascii="Times New Roman" w:cs="Times New Roman" w:eastAsia="Times New Roman" w:hAnsi="Times New Roman"/>
          <w:sz w:val="21"/>
          <w:szCs w:val="21"/>
          <w:color w:val="383838"/>
        </w:rPr>
        <w:t>ce</w:t>
      </w:r>
    </w:p>
    <w:p>
      <w:pPr>
        <w:spacing w:after="0" w:line="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232323"/>
        </w:rPr>
        <w:t>President</w:t>
      </w:r>
    </w:p>
    <w:p>
      <w:pPr>
        <w:spacing w:after="0" w:line="200" w:lineRule="exact"/>
        <w:rPr>
          <w:sz w:val="20"/>
          <w:szCs w:val="20"/>
          <w:color w:val="auto"/>
        </w:rPr>
      </w:pPr>
    </w:p>
    <w:p>
      <w:pPr>
        <w:spacing w:after="0" w:line="385" w:lineRule="exact"/>
        <w:rPr>
          <w:sz w:val="20"/>
          <w:szCs w:val="20"/>
          <w:color w:val="auto"/>
        </w:rPr>
      </w:pPr>
    </w:p>
    <w:p>
      <w:pPr>
        <w:jc w:val="both"/>
        <w:ind w:firstLine="750"/>
        <w:spacing w:after="0" w:line="255" w:lineRule="auto"/>
        <w:rPr>
          <w:sz w:val="20"/>
          <w:szCs w:val="20"/>
          <w:color w:val="auto"/>
        </w:rPr>
      </w:pPr>
      <w:r>
        <w:rPr>
          <w:rFonts w:ascii="Times New Roman" w:cs="Times New Roman" w:eastAsia="Times New Roman" w:hAnsi="Times New Roman"/>
          <w:sz w:val="21"/>
          <w:szCs w:val="21"/>
          <w:color w:val="232323"/>
        </w:rPr>
        <w:t>The above terms and conditions accurately reflect our understanding regarding the terms and conditions of the Retention Bonus. I hereby acknowledge that the Retention Bonus is subject in all respects to the terms and conditions of this Agreement</w:t>
      </w:r>
      <w:r>
        <w:rPr>
          <w:rFonts w:ascii="Times New Roman" w:cs="Times New Roman" w:eastAsia="Times New Roman" w:hAnsi="Times New Roman"/>
          <w:sz w:val="21"/>
          <w:szCs w:val="21"/>
          <w:color w:val="545454"/>
        </w:rPr>
        <w:t>,</w:t>
      </w:r>
      <w:r>
        <w:rPr>
          <w:rFonts w:ascii="Times New Roman" w:cs="Times New Roman" w:eastAsia="Times New Roman" w:hAnsi="Times New Roman"/>
          <w:sz w:val="21"/>
          <w:szCs w:val="21"/>
          <w:color w:val="232323"/>
        </w:rPr>
        <w:t xml:space="preserve"> and I hereby confirm my agreement to the same.</w:t>
      </w:r>
    </w:p>
    <w:p>
      <w:pPr>
        <w:spacing w:after="0" w:line="200" w:lineRule="exact"/>
        <w:rPr>
          <w:sz w:val="20"/>
          <w:szCs w:val="20"/>
          <w:color w:val="auto"/>
        </w:rPr>
      </w:pPr>
    </w:p>
    <w:p>
      <w:pPr>
        <w:spacing w:after="0" w:line="31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u w:val="single" w:color="auto"/>
          <w:color w:val="auto"/>
        </w:rPr>
        <w:t>/s/ Michael Christensen</w:t>
      </w:r>
    </w:p>
    <w:p>
      <w:pPr>
        <w:spacing w:after="0" w:line="2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Michael Christensen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i w:val="1"/>
          <w:iCs w:val="1"/>
          <w:color w:val="232323"/>
        </w:rPr>
        <w:t>[Signature Page to Retention Bonus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613410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440" w:right="41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ADDENDUM TO RETENTION BONUS AGREEMENT (ASSIGNMENT OF AGREEMENT)</w:t>
      </w:r>
    </w:p>
    <w:p>
      <w:pPr>
        <w:spacing w:after="0" w:line="200" w:lineRule="exact"/>
        <w:rPr>
          <w:sz w:val="20"/>
          <w:szCs w:val="20"/>
          <w:color w:val="auto"/>
        </w:rPr>
      </w:pPr>
    </w:p>
    <w:p>
      <w:pPr>
        <w:spacing w:after="0" w:line="32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color w:val="auto"/>
        </w:rPr>
        <w:t>Between</w:t>
      </w:r>
      <w:r>
        <w:rPr>
          <w:sz w:val="20"/>
          <w:szCs w:val="20"/>
          <w:color w:val="auto"/>
        </w:rPr>
        <w:tab/>
      </w:r>
      <w:r>
        <w:rPr>
          <w:rFonts w:ascii="Arial" w:cs="Arial" w:eastAsia="Arial" w:hAnsi="Arial"/>
          <w:sz w:val="17"/>
          <w:szCs w:val="17"/>
          <w:color w:val="auto"/>
        </w:rPr>
        <w:t>Gogo Business Aviation LLC</w:t>
      </w:r>
    </w:p>
    <w:p>
      <w:pPr>
        <w:spacing w:after="0" w:line="158" w:lineRule="exact"/>
        <w:rPr>
          <w:sz w:val="20"/>
          <w:szCs w:val="20"/>
          <w:color w:val="auto"/>
        </w:rPr>
      </w:pPr>
    </w:p>
    <w:p>
      <w:pPr>
        <w:ind w:left="2260" w:right="5840" w:hanging="6"/>
        <w:spacing w:after="0" w:line="234" w:lineRule="auto"/>
        <w:tabs>
          <w:tab w:leader="none" w:pos="2634" w:val="left"/>
        </w:tabs>
        <w:numPr>
          <w:ilvl w:val="0"/>
          <w:numId w:val="52"/>
        </w:numPr>
        <w:rPr>
          <w:rFonts w:ascii="Arial" w:cs="Arial" w:eastAsia="Arial" w:hAnsi="Arial"/>
          <w:sz w:val="17"/>
          <w:szCs w:val="17"/>
          <w:color w:val="auto"/>
        </w:rPr>
      </w:pPr>
      <w:r>
        <w:rPr>
          <w:rFonts w:ascii="Arial" w:cs="Arial" w:eastAsia="Arial" w:hAnsi="Arial"/>
          <w:sz w:val="17"/>
          <w:szCs w:val="17"/>
          <w:color w:val="auto"/>
        </w:rPr>
        <w:t>Edgeview Dr., Suite 300, Broomfield, CO 80021</w:t>
      </w:r>
    </w:p>
    <w:p>
      <w:pPr>
        <w:spacing w:after="0" w:line="129"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USA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Pr>
          <w:p>
            <w:pPr>
              <w:spacing w:after="0"/>
              <w:rPr>
                <w:sz w:val="20"/>
                <w:szCs w:val="20"/>
                <w:color w:val="auto"/>
              </w:rPr>
            </w:pPr>
            <w:r>
              <w:rPr>
                <w:rFonts w:ascii="Arial" w:cs="Arial" w:eastAsia="Arial" w:hAnsi="Arial"/>
                <w:sz w:val="17"/>
                <w:szCs w:val="17"/>
                <w:color w:val="auto"/>
              </w:rPr>
              <w:t>And</w:t>
            </w:r>
          </w:p>
        </w:tc>
        <w:tc>
          <w:tcPr>
            <w:tcW w:w="10540" w:type="dxa"/>
            <w:vAlign w:val="bottom"/>
          </w:tcPr>
          <w:p>
            <w:pPr>
              <w:ind w:left="740"/>
              <w:spacing w:after="0"/>
              <w:rPr>
                <w:sz w:val="20"/>
                <w:szCs w:val="20"/>
                <w:color w:val="auto"/>
              </w:rPr>
            </w:pPr>
            <w:r>
              <w:rPr>
                <w:rFonts w:ascii="Arial" w:cs="Arial" w:eastAsia="Arial" w:hAnsi="Arial"/>
                <w:sz w:val="17"/>
                <w:szCs w:val="17"/>
                <w:color w:val="auto"/>
              </w:rPr>
              <w:t>Gogo Inc.</w:t>
            </w:r>
          </w:p>
        </w:tc>
      </w:tr>
      <w:tr>
        <w:trPr>
          <w:trHeight w:val="324"/>
        </w:trPr>
        <w:tc>
          <w:tcPr>
            <w:tcW w:w="700" w:type="dxa"/>
            <w:vAlign w:val="bottom"/>
          </w:tcPr>
          <w:p>
            <w:pPr>
              <w:spacing w:after="0"/>
              <w:rPr>
                <w:sz w:val="24"/>
                <w:szCs w:val="24"/>
                <w:color w:val="auto"/>
              </w:rPr>
            </w:pPr>
          </w:p>
        </w:tc>
        <w:tc>
          <w:tcPr>
            <w:tcW w:w="10540" w:type="dxa"/>
            <w:vAlign w:val="bottom"/>
          </w:tcPr>
          <w:p>
            <w:pPr>
              <w:ind w:left="1560"/>
              <w:spacing w:after="0"/>
              <w:rPr>
                <w:sz w:val="20"/>
                <w:szCs w:val="20"/>
                <w:color w:val="auto"/>
              </w:rPr>
            </w:pPr>
            <w:r>
              <w:rPr>
                <w:rFonts w:ascii="Arial" w:cs="Arial" w:eastAsia="Arial" w:hAnsi="Arial"/>
                <w:sz w:val="17"/>
                <w:szCs w:val="17"/>
                <w:color w:val="auto"/>
              </w:rPr>
              <w:t>105 Edgeview Dr., Suite 300, Broomfield,</w:t>
            </w:r>
          </w:p>
        </w:tc>
      </w:tr>
      <w:tr>
        <w:trPr>
          <w:trHeight w:val="324"/>
        </w:trPr>
        <w:tc>
          <w:tcPr>
            <w:tcW w:w="700" w:type="dxa"/>
            <w:vAlign w:val="bottom"/>
          </w:tcPr>
          <w:p>
            <w:pPr>
              <w:spacing w:after="0"/>
              <w:rPr>
                <w:sz w:val="24"/>
                <w:szCs w:val="24"/>
                <w:color w:val="auto"/>
              </w:rPr>
            </w:pPr>
          </w:p>
        </w:tc>
        <w:tc>
          <w:tcPr>
            <w:tcW w:w="10540" w:type="dxa"/>
            <w:vAlign w:val="bottom"/>
          </w:tcPr>
          <w:p>
            <w:pPr>
              <w:ind w:left="1560"/>
              <w:spacing w:after="0"/>
              <w:rPr>
                <w:sz w:val="20"/>
                <w:szCs w:val="20"/>
                <w:color w:val="auto"/>
              </w:rPr>
            </w:pPr>
            <w:r>
              <w:rPr>
                <w:rFonts w:ascii="Arial" w:cs="Arial" w:eastAsia="Arial" w:hAnsi="Arial"/>
                <w:sz w:val="17"/>
                <w:szCs w:val="17"/>
                <w:color w:val="auto"/>
              </w:rPr>
              <w:t>CO 80021</w:t>
            </w:r>
          </w:p>
        </w:tc>
      </w:tr>
      <w:tr>
        <w:trPr>
          <w:trHeight w:val="324"/>
        </w:trPr>
        <w:tc>
          <w:tcPr>
            <w:tcW w:w="700" w:type="dxa"/>
            <w:vAlign w:val="bottom"/>
          </w:tcPr>
          <w:p>
            <w:pPr>
              <w:spacing w:after="0"/>
              <w:rPr>
                <w:sz w:val="24"/>
                <w:szCs w:val="24"/>
                <w:color w:val="auto"/>
              </w:rPr>
            </w:pPr>
          </w:p>
        </w:tc>
        <w:tc>
          <w:tcPr>
            <w:tcW w:w="10540" w:type="dxa"/>
            <w:vAlign w:val="bottom"/>
          </w:tcPr>
          <w:p>
            <w:pPr>
              <w:ind w:left="1560"/>
              <w:spacing w:after="0"/>
              <w:rPr>
                <w:sz w:val="20"/>
                <w:szCs w:val="20"/>
                <w:color w:val="auto"/>
              </w:rPr>
            </w:pPr>
            <w:r>
              <w:rPr>
                <w:rFonts w:ascii="Arial" w:cs="Arial" w:eastAsia="Arial" w:hAnsi="Arial"/>
                <w:sz w:val="17"/>
                <w:szCs w:val="17"/>
                <w:color w:val="auto"/>
              </w:rPr>
              <w:t>USA</w:t>
            </w:r>
          </w:p>
        </w:tc>
      </w:tr>
      <w:tr>
        <w:trPr>
          <w:trHeight w:val="648"/>
        </w:trPr>
        <w:tc>
          <w:tcPr>
            <w:tcW w:w="700" w:type="dxa"/>
            <w:vAlign w:val="bottom"/>
          </w:tcPr>
          <w:p>
            <w:pPr>
              <w:spacing w:after="0"/>
              <w:rPr>
                <w:sz w:val="20"/>
                <w:szCs w:val="20"/>
                <w:color w:val="auto"/>
              </w:rPr>
            </w:pPr>
            <w:r>
              <w:rPr>
                <w:rFonts w:ascii="Arial" w:cs="Arial" w:eastAsia="Arial" w:hAnsi="Arial"/>
                <w:sz w:val="17"/>
                <w:szCs w:val="17"/>
                <w:color w:val="auto"/>
              </w:rPr>
              <w:t>And</w:t>
            </w:r>
          </w:p>
        </w:tc>
        <w:tc>
          <w:tcPr>
            <w:tcW w:w="10540" w:type="dxa"/>
            <w:vAlign w:val="bottom"/>
          </w:tcPr>
          <w:p>
            <w:pPr>
              <w:ind w:left="740"/>
              <w:spacing w:after="0"/>
              <w:rPr>
                <w:sz w:val="20"/>
                <w:szCs w:val="20"/>
                <w:color w:val="auto"/>
              </w:rPr>
            </w:pPr>
            <w:r>
              <w:rPr>
                <w:rFonts w:ascii="Arial" w:cs="Arial" w:eastAsia="Arial" w:hAnsi="Arial"/>
                <w:sz w:val="17"/>
                <w:szCs w:val="17"/>
                <w:color w:val="auto"/>
              </w:rPr>
              <w:t>Gogo Denmark ApS</w:t>
            </w:r>
          </w:p>
        </w:tc>
      </w:tr>
      <w:tr>
        <w:trPr>
          <w:trHeight w:val="324"/>
        </w:trPr>
        <w:tc>
          <w:tcPr>
            <w:tcW w:w="700" w:type="dxa"/>
            <w:vAlign w:val="bottom"/>
          </w:tcPr>
          <w:p>
            <w:pPr>
              <w:spacing w:after="0"/>
              <w:rPr>
                <w:sz w:val="24"/>
                <w:szCs w:val="24"/>
                <w:color w:val="auto"/>
              </w:rPr>
            </w:pPr>
          </w:p>
        </w:tc>
        <w:tc>
          <w:tcPr>
            <w:tcW w:w="10540" w:type="dxa"/>
            <w:vAlign w:val="bottom"/>
          </w:tcPr>
          <w:p>
            <w:pPr>
              <w:ind w:left="1560"/>
              <w:spacing w:after="0"/>
              <w:rPr>
                <w:sz w:val="20"/>
                <w:szCs w:val="20"/>
                <w:color w:val="auto"/>
              </w:rPr>
            </w:pPr>
            <w:r>
              <w:rPr>
                <w:rFonts w:ascii="Arial" w:cs="Arial" w:eastAsia="Arial" w:hAnsi="Arial"/>
                <w:sz w:val="17"/>
                <w:szCs w:val="17"/>
                <w:color w:val="auto"/>
              </w:rPr>
              <w:t>Sundkrogsgade 21</w:t>
            </w:r>
          </w:p>
        </w:tc>
      </w:tr>
      <w:tr>
        <w:trPr>
          <w:trHeight w:val="324"/>
        </w:trPr>
        <w:tc>
          <w:tcPr>
            <w:tcW w:w="700" w:type="dxa"/>
            <w:vAlign w:val="bottom"/>
          </w:tcPr>
          <w:p>
            <w:pPr>
              <w:spacing w:after="0"/>
              <w:rPr>
                <w:sz w:val="24"/>
                <w:szCs w:val="24"/>
                <w:color w:val="auto"/>
              </w:rPr>
            </w:pPr>
          </w:p>
        </w:tc>
        <w:tc>
          <w:tcPr>
            <w:tcW w:w="10540" w:type="dxa"/>
            <w:vAlign w:val="bottom"/>
          </w:tcPr>
          <w:p>
            <w:pPr>
              <w:ind w:left="1560"/>
              <w:spacing w:after="0"/>
              <w:rPr>
                <w:sz w:val="20"/>
                <w:szCs w:val="20"/>
                <w:color w:val="auto"/>
              </w:rPr>
            </w:pPr>
            <w:r>
              <w:rPr>
                <w:rFonts w:ascii="Arial" w:cs="Arial" w:eastAsia="Arial" w:hAnsi="Arial"/>
                <w:sz w:val="17"/>
                <w:szCs w:val="17"/>
                <w:color w:val="auto"/>
              </w:rPr>
              <w:t>2100 Copenhagen</w:t>
            </w:r>
          </w:p>
        </w:tc>
      </w:tr>
      <w:tr>
        <w:trPr>
          <w:trHeight w:val="324"/>
        </w:trPr>
        <w:tc>
          <w:tcPr>
            <w:tcW w:w="700" w:type="dxa"/>
            <w:vAlign w:val="bottom"/>
          </w:tcPr>
          <w:p>
            <w:pPr>
              <w:spacing w:after="0"/>
              <w:rPr>
                <w:sz w:val="24"/>
                <w:szCs w:val="24"/>
                <w:color w:val="auto"/>
              </w:rPr>
            </w:pPr>
          </w:p>
        </w:tc>
        <w:tc>
          <w:tcPr>
            <w:tcW w:w="10540" w:type="dxa"/>
            <w:vAlign w:val="bottom"/>
          </w:tcPr>
          <w:p>
            <w:pPr>
              <w:ind w:left="380"/>
              <w:spacing w:after="0"/>
              <w:rPr>
                <w:sz w:val="20"/>
                <w:szCs w:val="20"/>
                <w:color w:val="auto"/>
              </w:rPr>
            </w:pPr>
            <w:r>
              <w:rPr>
                <w:rFonts w:ascii="Arial" w:cs="Arial" w:eastAsia="Arial" w:hAnsi="Arial"/>
                <w:sz w:val="17"/>
                <w:szCs w:val="17"/>
                <w:color w:val="auto"/>
              </w:rPr>
              <w:t>Denmark</w:t>
            </w:r>
          </w:p>
        </w:tc>
      </w:tr>
      <w:tr>
        <w:trPr>
          <w:trHeight w:val="648"/>
        </w:trPr>
        <w:tc>
          <w:tcPr>
            <w:tcW w:w="700" w:type="dxa"/>
            <w:vAlign w:val="bottom"/>
          </w:tcPr>
          <w:p>
            <w:pPr>
              <w:spacing w:after="0"/>
              <w:rPr>
                <w:sz w:val="20"/>
                <w:szCs w:val="20"/>
                <w:color w:val="auto"/>
              </w:rPr>
            </w:pPr>
            <w:r>
              <w:rPr>
                <w:rFonts w:ascii="Arial" w:cs="Arial" w:eastAsia="Arial" w:hAnsi="Arial"/>
                <w:sz w:val="17"/>
                <w:szCs w:val="17"/>
                <w:color w:val="auto"/>
              </w:rPr>
              <w:t>And</w:t>
            </w:r>
          </w:p>
        </w:tc>
        <w:tc>
          <w:tcPr>
            <w:tcW w:w="10540" w:type="dxa"/>
            <w:vAlign w:val="bottom"/>
          </w:tcPr>
          <w:p>
            <w:pPr>
              <w:ind w:left="380"/>
              <w:spacing w:after="0"/>
              <w:rPr>
                <w:sz w:val="20"/>
                <w:szCs w:val="20"/>
                <w:color w:val="auto"/>
              </w:rPr>
            </w:pPr>
            <w:r>
              <w:rPr>
                <w:rFonts w:ascii="Arial" w:cs="Arial" w:eastAsia="Arial" w:hAnsi="Arial"/>
                <w:sz w:val="17"/>
                <w:szCs w:val="17"/>
                <w:color w:val="auto"/>
              </w:rPr>
              <w:t>Michael Christensen</w:t>
            </w:r>
          </w:p>
        </w:tc>
      </w:tr>
      <w:tr>
        <w:trPr>
          <w:trHeight w:val="314"/>
        </w:trPr>
        <w:tc>
          <w:tcPr>
            <w:tcW w:w="700" w:type="dxa"/>
            <w:vAlign w:val="bottom"/>
          </w:tcPr>
          <w:p>
            <w:pPr>
              <w:spacing w:after="0"/>
              <w:rPr>
                <w:sz w:val="24"/>
                <w:szCs w:val="24"/>
                <w:color w:val="auto"/>
              </w:rPr>
            </w:pPr>
          </w:p>
        </w:tc>
        <w:tc>
          <w:tcPr>
            <w:tcW w:w="10540" w:type="dxa"/>
            <w:vAlign w:val="bottom"/>
          </w:tcPr>
          <w:p>
            <w:pPr>
              <w:ind w:left="1560"/>
              <w:spacing w:after="0"/>
              <w:rPr>
                <w:sz w:val="20"/>
                <w:szCs w:val="20"/>
                <w:color w:val="auto"/>
              </w:rPr>
            </w:pPr>
            <w:r>
              <w:rPr>
                <w:rFonts w:ascii="Arial" w:cs="Arial" w:eastAsia="Arial" w:hAnsi="Arial"/>
                <w:sz w:val="16"/>
                <w:szCs w:val="16"/>
                <w:color w:val="auto"/>
              </w:rPr>
              <w:t>[***]</w:t>
            </w:r>
          </w:p>
        </w:tc>
      </w:tr>
      <w:tr>
        <w:trPr>
          <w:trHeight w:val="1737"/>
        </w:trPr>
        <w:tc>
          <w:tcPr>
            <w:tcW w:w="700" w:type="dxa"/>
            <w:vAlign w:val="bottom"/>
            <w:tcBorders>
              <w:bottom w:val="single" w:sz="8" w:color="9A9A9A"/>
            </w:tcBorders>
          </w:tcPr>
          <w:p>
            <w:pPr>
              <w:spacing w:after="0"/>
              <w:rPr>
                <w:sz w:val="24"/>
                <w:szCs w:val="24"/>
                <w:color w:val="auto"/>
              </w:rPr>
            </w:pPr>
          </w:p>
        </w:tc>
        <w:tc>
          <w:tcPr>
            <w:tcW w:w="10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This addendum (the "Addendum") to the Retention Bonus Agreement set forth in the letter dated 13 November 2024 from the Vice President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Gogo Inc. is entered into on September 1, 2026 between:</w:t>
      </w:r>
    </w:p>
    <w:p>
      <w:pPr>
        <w:spacing w:after="0" w:line="200" w:lineRule="exact"/>
        <w:rPr>
          <w:sz w:val="20"/>
          <w:szCs w:val="20"/>
          <w:color w:val="auto"/>
        </w:rPr>
      </w:pPr>
    </w:p>
    <w:p>
      <w:pPr>
        <w:spacing w:after="0" w:line="350" w:lineRule="exact"/>
        <w:rPr>
          <w:sz w:val="20"/>
          <w:szCs w:val="20"/>
          <w:color w:val="auto"/>
        </w:rPr>
      </w:pPr>
    </w:p>
    <w:p>
      <w:pPr>
        <w:ind w:left="900" w:hanging="892"/>
        <w:spacing w:after="0" w:line="234"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Gogo Business Aviation LLC, 105 Edgeview Dr., Suite 300, Broomfield, CO 80021, USA, with registration number 4541118, with registered office at c/o Corporation Service Company, 251 Little Falls Drive, Wilmington DE 19808 USA (the "</w:t>
      </w:r>
      <w:r>
        <w:rPr>
          <w:rFonts w:ascii="Arial" w:cs="Arial" w:eastAsia="Arial" w:hAnsi="Arial"/>
          <w:sz w:val="17"/>
          <w:szCs w:val="17"/>
          <w:color w:val="auto"/>
          <w:highlight w:val="black"/>
        </w:rPr>
        <w:t>Former Employer</w:t>
      </w:r>
      <w:r>
        <w:rPr>
          <w:rFonts w:ascii="Arial" w:cs="Arial" w:eastAsia="Arial" w:hAnsi="Arial"/>
          <w:sz w:val="17"/>
          <w:szCs w:val="17"/>
          <w:color w:val="auto"/>
        </w:rPr>
        <w:t>")</w:t>
      </w:r>
    </w:p>
    <w:p>
      <w:pPr>
        <w:spacing w:after="0" w:line="199" w:lineRule="exact"/>
        <w:rPr>
          <w:rFonts w:ascii="Arial" w:cs="Arial" w:eastAsia="Arial" w:hAnsi="Arial"/>
          <w:sz w:val="17"/>
          <w:szCs w:val="17"/>
          <w:color w:val="auto"/>
        </w:rPr>
      </w:pPr>
    </w:p>
    <w:p>
      <w:pPr>
        <w:ind w:left="900" w:hanging="892"/>
        <w:spacing w:after="0" w:line="234"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Gogo Inc., 105 Edgeview Dr., Suite 300, Broomfield, CO 80021, USA, with registration number 4764488, with registered office at c/o Corporation Service Company, 251 Little Falls Drive, Wilmington DE 19808 USA (the </w:t>
      </w:r>
      <w:r>
        <w:rPr>
          <w:rFonts w:ascii="Arial" w:cs="Arial" w:eastAsia="Arial" w:hAnsi="Arial"/>
          <w:sz w:val="17"/>
          <w:szCs w:val="17"/>
          <w:color w:val="auto"/>
          <w:highlight w:val="black"/>
        </w:rPr>
        <w:t>"Parent Company"</w:t>
      </w:r>
      <w:r>
        <w:rPr>
          <w:rFonts w:ascii="Arial" w:cs="Arial" w:eastAsia="Arial" w:hAnsi="Arial"/>
          <w:sz w:val="17"/>
          <w:szCs w:val="17"/>
          <w:color w:val="auto"/>
        </w:rPr>
        <w:t>);</w:t>
      </w:r>
    </w:p>
    <w:p>
      <w:pPr>
        <w:spacing w:after="0" w:line="169" w:lineRule="exact"/>
        <w:rPr>
          <w:rFonts w:ascii="Arial" w:cs="Arial" w:eastAsia="Arial" w:hAnsi="Arial"/>
          <w:sz w:val="17"/>
          <w:szCs w:val="17"/>
          <w:color w:val="auto"/>
        </w:rPr>
      </w:pPr>
    </w:p>
    <w:p>
      <w:pPr>
        <w:ind w:left="900" w:hanging="892"/>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Gogo Denmark ApS, Company Reg. No. (CVR), 45175685, Sundkrogsgade 21, 2100 Copenhagen, Denmark (the </w:t>
      </w:r>
      <w:r>
        <w:rPr>
          <w:rFonts w:ascii="Arial" w:cs="Arial" w:eastAsia="Arial" w:hAnsi="Arial"/>
          <w:sz w:val="17"/>
          <w:szCs w:val="17"/>
          <w:color w:val="auto"/>
          <w:highlight w:val="black"/>
        </w:rPr>
        <w:t>"New Employer"</w:t>
      </w:r>
      <w:r>
        <w:rPr>
          <w:rFonts w:ascii="Arial" w:cs="Arial" w:eastAsia="Arial" w:hAnsi="Arial"/>
          <w:sz w:val="17"/>
          <w:szCs w:val="17"/>
          <w:color w:val="auto"/>
        </w:rPr>
        <w:t>); and</w:t>
      </w:r>
    </w:p>
    <w:p>
      <w:pPr>
        <w:spacing w:after="0" w:line="155" w:lineRule="exact"/>
        <w:rPr>
          <w:rFonts w:ascii="Arial" w:cs="Arial" w:eastAsia="Arial" w:hAnsi="Arial"/>
          <w:sz w:val="17"/>
          <w:szCs w:val="17"/>
          <w:color w:val="auto"/>
        </w:rPr>
      </w:pPr>
    </w:p>
    <w:p>
      <w:pPr>
        <w:ind w:left="900" w:hanging="892"/>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Michael Christensen, [***] (the "Executive"),</w:t>
      </w:r>
    </w:p>
    <w:p>
      <w:pPr>
        <w:spacing w:after="0" w:line="200" w:lineRule="exact"/>
        <w:rPr>
          <w:sz w:val="20"/>
          <w:szCs w:val="20"/>
          <w:color w:val="auto"/>
        </w:rPr>
      </w:pPr>
    </w:p>
    <w:p>
      <w:pPr>
        <w:spacing w:after="0" w:line="363" w:lineRule="exact"/>
        <w:rPr>
          <w:sz w:val="20"/>
          <w:szCs w:val="20"/>
          <w:color w:val="auto"/>
        </w:rPr>
      </w:pPr>
    </w:p>
    <w:p>
      <w:pPr>
        <w:ind w:left="900" w:right="20" w:hanging="7"/>
        <w:spacing w:after="0" w:line="234" w:lineRule="auto"/>
        <w:tabs>
          <w:tab w:leader="none" w:pos="103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Former Employer, the Parent Company, the New Employer and the Executive hereinafter collectively referred to as the "Parties" and separately as a "Party"</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199" w:lineRule="exact"/>
        <w:rPr>
          <w:sz w:val="20"/>
          <w:szCs w:val="20"/>
          <w:color w:val="auto"/>
        </w:rPr>
      </w:pPr>
    </w:p>
    <w:p>
      <w:pPr>
        <w:jc w:val="both"/>
        <w:ind w:left="900" w:hanging="892"/>
        <w:spacing w:after="0" w:line="247"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Former Employer, the Parent Company and the Executive entered into the Retention Bonus Agreement set forth in the letter dated 13 November 2024 from the Vice President of Gogo Inc. (the "Agreement") (a copy of which is attached as exhibit 1 to this Addendum) that became effective on December 3, 2024 (the </w:t>
      </w:r>
      <w:r>
        <w:rPr>
          <w:rFonts w:ascii="Arial" w:cs="Arial" w:eastAsia="Arial" w:hAnsi="Arial"/>
          <w:sz w:val="17"/>
          <w:szCs w:val="17"/>
          <w:color w:val="auto"/>
          <w:highlight w:val="black"/>
        </w:rPr>
        <w:t>"Effective Date"</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left="900" w:hanging="892"/>
        <w:spacing w:after="0" w:line="247"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pursuant to the Agreement, the Executive was granted a one-time retention bonus opportunity in an aggregate amount of USD 500,000 (the "</w:t>
      </w:r>
      <w:r>
        <w:rPr>
          <w:rFonts w:ascii="Arial" w:cs="Arial" w:eastAsia="Arial" w:hAnsi="Arial"/>
          <w:sz w:val="17"/>
          <w:szCs w:val="17"/>
          <w:color w:val="auto"/>
          <w:highlight w:val="black"/>
        </w:rPr>
        <w:t>Retention Bonus</w:t>
      </w:r>
      <w:r>
        <w:rPr>
          <w:rFonts w:ascii="Arial" w:cs="Arial" w:eastAsia="Arial" w:hAnsi="Arial"/>
          <w:sz w:val="17"/>
          <w:szCs w:val="17"/>
          <w:color w:val="auto"/>
        </w:rPr>
        <w:t>"), vesting in three (3) equal installments: one-third on the Effective Date, one-third on the first anniversary of the Effective Date and one-third on the second anniversary of the Effective Date;</w:t>
      </w:r>
    </w:p>
    <w:p>
      <w:pPr>
        <w:spacing w:after="0" w:line="163" w:lineRule="exact"/>
        <w:rPr>
          <w:rFonts w:ascii="Arial" w:cs="Arial" w:eastAsia="Arial" w:hAnsi="Arial"/>
          <w:sz w:val="17"/>
          <w:szCs w:val="17"/>
          <w:color w:val="auto"/>
        </w:rPr>
      </w:pPr>
    </w:p>
    <w:p>
      <w:pPr>
        <w:ind w:left="900" w:hanging="892"/>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first and second installment of the Retention Bonus has been paid to the Executive but the third installment remains outstanding;</w:t>
      </w:r>
    </w:p>
    <w:p>
      <w:pPr>
        <w:spacing w:after="0" w:line="198" w:lineRule="exact"/>
        <w:rPr>
          <w:rFonts w:ascii="Arial" w:cs="Arial" w:eastAsia="Arial" w:hAnsi="Arial"/>
          <w:sz w:val="17"/>
          <w:szCs w:val="17"/>
          <w:color w:val="auto"/>
        </w:rPr>
      </w:pPr>
    </w:p>
    <w:p>
      <w:pPr>
        <w:ind w:left="900" w:right="20" w:hanging="892"/>
        <w:spacing w:after="0" w:line="234"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Executive's employment is being transferred from the Former Employer to the New Employer, which is an affiliate of the Former Employer and which is ultimately controlled by the Parent Company;</w:t>
      </w:r>
    </w:p>
    <w:p>
      <w:pPr>
        <w:spacing w:after="0" w:line="185" w:lineRule="exact"/>
        <w:rPr>
          <w:rFonts w:ascii="Arial" w:cs="Arial" w:eastAsia="Arial" w:hAnsi="Arial"/>
          <w:sz w:val="17"/>
          <w:szCs w:val="17"/>
          <w:color w:val="auto"/>
        </w:rPr>
      </w:pPr>
    </w:p>
    <w:p>
      <w:pPr>
        <w:ind w:left="900" w:hanging="892"/>
        <w:spacing w:after="0" w:line="234"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Parties wish to confirm that the Agreement continues in full force and effect following the transfer of the Executive's employment and to make certain clarificatory amendments to give effect to that intention.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THE PARTIES AGREE AS FOLLOWS:</w:t>
      </w:r>
    </w:p>
    <w:p>
      <w:pPr>
        <w:spacing w:after="0" w:line="156" w:lineRule="exact"/>
        <w:rPr>
          <w:sz w:val="20"/>
          <w:szCs w:val="20"/>
          <w:color w:val="auto"/>
        </w:rPr>
      </w:pPr>
    </w:p>
    <w:p>
      <w:pPr>
        <w:ind w:left="900" w:hanging="892"/>
        <w:spacing w:after="0"/>
        <w:tabs>
          <w:tab w:leader="none" w:pos="900" w:val="left"/>
        </w:tabs>
        <w:numPr>
          <w:ilvl w:val="0"/>
          <w:numId w:val="56"/>
        </w:numPr>
        <w:rPr>
          <w:rFonts w:ascii="Arial" w:cs="Arial" w:eastAsia="Arial" w:hAnsi="Arial"/>
          <w:sz w:val="17"/>
          <w:szCs w:val="17"/>
          <w:color w:val="auto"/>
          <w:highlight w:val="black"/>
        </w:rPr>
      </w:pPr>
      <w:r>
        <w:rPr>
          <w:rFonts w:ascii="Arial" w:cs="Arial" w:eastAsia="Arial" w:hAnsi="Arial"/>
          <w:sz w:val="17"/>
          <w:szCs w:val="17"/>
          <w:color w:val="auto"/>
          <w:highlight w:val="black"/>
        </w:rPr>
        <w:t>CONTINUATION OF THE AGREEMENT</w:t>
      </w:r>
    </w:p>
    <w:p>
      <w:pPr>
        <w:spacing w:after="0" w:line="199" w:lineRule="exact"/>
        <w:rPr>
          <w:sz w:val="20"/>
          <w:szCs w:val="20"/>
          <w:color w:val="auto"/>
        </w:rPr>
      </w:pPr>
    </w:p>
    <w:p>
      <w:pPr>
        <w:ind w:left="900" w:hanging="883"/>
        <w:spacing w:after="0" w:line="234" w:lineRule="auto"/>
        <w:tabs>
          <w:tab w:leader="none" w:pos="8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The Parties agree that, with effect from the date of this Addendum (the "Addendum Effective Date") the Agreement shall continue in full force and effect on its existing terms, save as expressly amended by this Addendum.</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900" w:hanging="883"/>
        <w:spacing w:after="0" w:line="247" w:lineRule="auto"/>
        <w:tabs>
          <w:tab w:leader="none" w:pos="8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Consequently, with effect from the Addendum Effective Date, the Former Employer assigns to the New Employer, and the New Employer hereby accepts and assumes all of the Former Employer's rights and obligations under the Agreement to the extent arising on or after the Addendum Effective Date.</w:t>
      </w:r>
    </w:p>
    <w:p>
      <w:pPr>
        <w:spacing w:after="0" w:line="193" w:lineRule="exact"/>
        <w:rPr>
          <w:sz w:val="20"/>
          <w:szCs w:val="20"/>
          <w:color w:val="auto"/>
        </w:rPr>
      </w:pPr>
    </w:p>
    <w:p>
      <w:pPr>
        <w:jc w:val="both"/>
        <w:ind w:left="900" w:hanging="883"/>
        <w:spacing w:after="0" w:line="234" w:lineRule="auto"/>
        <w:tabs>
          <w:tab w:leader="none" w:pos="8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Notwithstanding the assignment referred to in Clause 1.2 above, the Former Employer shall remain solely liable for all obligations under the Agreement that accrued prior to the Addendum Effective Date.</w:t>
      </w:r>
    </w:p>
    <w:p>
      <w:pPr>
        <w:spacing w:after="0" w:line="186" w:lineRule="exact"/>
        <w:rPr>
          <w:sz w:val="20"/>
          <w:szCs w:val="20"/>
          <w:color w:val="auto"/>
        </w:rPr>
      </w:pPr>
    </w:p>
    <w:p>
      <w:pPr>
        <w:jc w:val="both"/>
        <w:ind w:left="900" w:right="20" w:hanging="883"/>
        <w:spacing w:after="0" w:line="234" w:lineRule="auto"/>
        <w:tabs>
          <w:tab w:leader="none" w:pos="8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7"/>
          <w:szCs w:val="17"/>
          <w:color w:val="auto"/>
        </w:rPr>
        <w:t>The transfer of the Executive's employment from the Former Employer to the New Employer shall not constitute, and shall not be deemed to constitute, a termination of employment or a breach of the Agreement for any purpose whatsoever.</w:t>
      </w:r>
    </w:p>
    <w:p>
      <w:pPr>
        <w:spacing w:after="0" w:line="199" w:lineRule="exact"/>
        <w:rPr>
          <w:sz w:val="20"/>
          <w:szCs w:val="20"/>
          <w:color w:val="auto"/>
        </w:rPr>
      </w:pPr>
    </w:p>
    <w:p>
      <w:pPr>
        <w:jc w:val="both"/>
        <w:ind w:left="900" w:hanging="883"/>
        <w:spacing w:after="0" w:line="247" w:lineRule="auto"/>
        <w:tabs>
          <w:tab w:leader="none" w:pos="8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For the purposes of determining whether the applicable vesting conditions under Section 1 of the Agreement have been satisfied, the Executive's period of continuous service with the Former Employer shall be aggregated with, and treated as continuous with, the Executive's period of service with the New Employer.</w:t>
      </w:r>
    </w:p>
    <w:p>
      <w:pPr>
        <w:spacing w:after="0" w:line="163" w:lineRule="exact"/>
        <w:rPr>
          <w:sz w:val="20"/>
          <w:szCs w:val="20"/>
          <w:color w:val="auto"/>
        </w:rPr>
      </w:pPr>
    </w:p>
    <w:p>
      <w:pPr>
        <w:ind w:left="900" w:hanging="892"/>
        <w:spacing w:after="0"/>
        <w:tabs>
          <w:tab w:leader="none" w:pos="900" w:val="left"/>
        </w:tabs>
        <w:numPr>
          <w:ilvl w:val="0"/>
          <w:numId w:val="57"/>
        </w:numPr>
        <w:rPr>
          <w:rFonts w:ascii="Arial" w:cs="Arial" w:eastAsia="Arial" w:hAnsi="Arial"/>
          <w:sz w:val="17"/>
          <w:szCs w:val="17"/>
          <w:color w:val="auto"/>
          <w:highlight w:val="black"/>
        </w:rPr>
      </w:pPr>
      <w:r>
        <w:rPr>
          <w:rFonts w:ascii="Arial" w:cs="Arial" w:eastAsia="Arial" w:hAnsi="Arial"/>
          <w:sz w:val="17"/>
          <w:szCs w:val="17"/>
          <w:color w:val="auto"/>
          <w:highlight w:val="black"/>
        </w:rPr>
        <w:t>AMENDMENTS TO THE AGREEMENT</w:t>
      </w:r>
    </w:p>
    <w:p>
      <w:pPr>
        <w:spacing w:after="0" w:line="185" w:lineRule="exact"/>
        <w:rPr>
          <w:sz w:val="20"/>
          <w:szCs w:val="20"/>
          <w:color w:val="auto"/>
        </w:rPr>
      </w:pPr>
    </w:p>
    <w:p>
      <w:pPr>
        <w:jc w:val="both"/>
        <w:ind w:left="900" w:hanging="883"/>
        <w:spacing w:after="0" w:line="234" w:lineRule="auto"/>
        <w:tabs>
          <w:tab w:leader="none" w:pos="8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With effect from the Executive's commencement of employment with the New Employer (the "Addendum Effective Date"), the Agreement shall be amended as outlined in this Clause 2.</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References to Former Employer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-13335</wp:posOffset>
            </wp:positionV>
            <wp:extent cx="237744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77440" cy="8255"/>
                    </a:xfrm>
                    <a:prstGeom prst="rect">
                      <a:avLst/>
                    </a:prstGeom>
                    <a:noFill/>
                  </pic:spPr>
                </pic:pic>
              </a:graphicData>
            </a:graphic>
          </wp:anchor>
        </w:drawing>
      </w:r>
    </w:p>
    <w:p>
      <w:pPr>
        <w:spacing w:after="0" w:line="179" w:lineRule="exact"/>
        <w:rPr>
          <w:sz w:val="20"/>
          <w:szCs w:val="20"/>
          <w:color w:val="auto"/>
        </w:rPr>
      </w:pPr>
    </w:p>
    <w:p>
      <w:pPr>
        <w:jc w:val="both"/>
        <w:ind w:left="900" w:hanging="883"/>
        <w:spacing w:after="0" w:line="247" w:lineRule="auto"/>
        <w:tabs>
          <w:tab w:leader="none" w:pos="88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7"/>
          <w:szCs w:val="17"/>
          <w:color w:val="auto"/>
        </w:rPr>
        <w:t>All references in the Agreement to the Former Employer (defined therein as "the Company") shall be read and construed as references to the New Employer, save where the context otherwise requires or where a reference relates specifically to the period prior to the Addendum Effective Date.</w:t>
      </w:r>
    </w:p>
    <w:p>
      <w:pPr>
        <w:spacing w:after="0" w:line="15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Termination Events - Section 1(a)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-13335</wp:posOffset>
            </wp:positionV>
            <wp:extent cx="24853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85390" cy="8890"/>
                    </a:xfrm>
                    <a:prstGeom prst="rect">
                      <a:avLst/>
                    </a:prstGeom>
                    <a:noFill/>
                  </pic:spPr>
                </pic:pic>
              </a:graphicData>
            </a:graphic>
          </wp:anchor>
        </w:drawing>
      </w:r>
    </w:p>
    <w:p>
      <w:pPr>
        <w:spacing w:after="0" w:line="179" w:lineRule="exact"/>
        <w:rPr>
          <w:sz w:val="20"/>
          <w:szCs w:val="20"/>
          <w:color w:val="auto"/>
        </w:rPr>
      </w:pPr>
    </w:p>
    <w:p>
      <w:pPr>
        <w:jc w:val="both"/>
        <w:ind w:left="900" w:hanging="883"/>
        <w:spacing w:after="0" w:line="247" w:lineRule="auto"/>
        <w:tabs>
          <w:tab w:leader="none" w:pos="88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 xml:space="preserve">The reference in the Section 1(a) of the Agreement to the "CIC Agreement" shall be read and construed as a reference to the Change in Control Severance Agreement by and between the Parent Company and the Executive dated September 1, 2026 (the </w:t>
      </w:r>
      <w:r>
        <w:rPr>
          <w:rFonts w:ascii="Arial" w:cs="Arial" w:eastAsia="Arial" w:hAnsi="Arial"/>
          <w:sz w:val="17"/>
          <w:szCs w:val="17"/>
          <w:color w:val="auto"/>
          <w:highlight w:val="black"/>
        </w:rPr>
        <w:t>"Amended CIC</w:t>
      </w:r>
      <w:r>
        <w:rPr>
          <w:rFonts w:ascii="Arial" w:cs="Arial" w:eastAsia="Arial" w:hAnsi="Arial"/>
          <w:sz w:val="17"/>
          <w:szCs w:val="17"/>
          <w:color w:val="auto"/>
        </w:rPr>
        <w:t xml:space="preserve"> </w:t>
      </w:r>
      <w:r>
        <w:rPr>
          <w:rFonts w:ascii="Arial" w:cs="Arial" w:eastAsia="Arial" w:hAnsi="Arial"/>
          <w:sz w:val="17"/>
          <w:szCs w:val="17"/>
          <w:color w:val="auto"/>
          <w:highlight w:val="black"/>
        </w:rPr>
        <w:t>Agreement")</w:t>
      </w:r>
      <w:r>
        <w:rPr>
          <w:rFonts w:ascii="Arial" w:cs="Arial" w:eastAsia="Arial" w:hAnsi="Arial"/>
          <w:sz w:val="17"/>
          <w:szCs w:val="17"/>
          <w:color w:val="auto"/>
        </w:rPr>
        <w:t>.</w:t>
      </w:r>
    </w:p>
    <w:p>
      <w:pPr>
        <w:spacing w:after="0" w:line="193" w:lineRule="exact"/>
        <w:rPr>
          <w:sz w:val="20"/>
          <w:szCs w:val="20"/>
          <w:color w:val="auto"/>
        </w:rPr>
      </w:pPr>
    </w:p>
    <w:p>
      <w:pPr>
        <w:jc w:val="both"/>
        <w:ind w:left="880" w:right="20" w:hanging="874"/>
        <w:spacing w:after="0" w:line="234" w:lineRule="auto"/>
        <w:tabs>
          <w:tab w:leader="none" w:pos="8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Further, the reference in Section 1(a) of the Agreement to "Cause" and "Good Reason" shall be read and construed as the definition of "Cause" and "Good Reason" in the Amended CIC Agreement.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color w:val="auto"/>
        </w:rPr>
        <w:t>Other Benefits - Section 6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-13335</wp:posOffset>
            </wp:positionV>
            <wp:extent cx="210693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06930" cy="8890"/>
                    </a:xfrm>
                    <a:prstGeom prst="rect">
                      <a:avLst/>
                    </a:prstGeom>
                    <a:noFill/>
                  </pic:spPr>
                </pic:pic>
              </a:graphicData>
            </a:graphic>
          </wp:anchor>
        </w:drawing>
      </w:r>
    </w:p>
    <w:p>
      <w:pPr>
        <w:spacing w:after="0" w:line="14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Section 6 of the Agreement shall be supplemented with the following wording:</w:t>
      </w:r>
    </w:p>
    <w:p>
      <w:pPr>
        <w:spacing w:after="0" w:line="199" w:lineRule="exact"/>
        <w:rPr>
          <w:sz w:val="20"/>
          <w:szCs w:val="20"/>
          <w:color w:val="auto"/>
        </w:rPr>
      </w:pPr>
    </w:p>
    <w:p>
      <w:pPr>
        <w:jc w:val="both"/>
        <w:ind w:left="900"/>
        <w:spacing w:after="0" w:line="247" w:lineRule="auto"/>
        <w:rPr>
          <w:sz w:val="20"/>
          <w:szCs w:val="20"/>
          <w:color w:val="auto"/>
        </w:rPr>
      </w:pPr>
      <w:r>
        <w:rPr>
          <w:rFonts w:ascii="Arial" w:cs="Arial" w:eastAsia="Arial" w:hAnsi="Arial"/>
          <w:sz w:val="17"/>
          <w:szCs w:val="17"/>
          <w:color w:val="auto"/>
        </w:rPr>
        <w:t>If, contrary to the intentions of the Parties and the governing law clause set out in Section 8 of the Agreement, the Agreement is determined by a court or other judicial authority to be governed by Danish law as a consequence of the change in the Executive's employing entity, the Parties acknowledge and agree as follows:</w:t>
      </w:r>
    </w:p>
    <w:p>
      <w:pPr>
        <w:spacing w:after="0" w:line="179" w:lineRule="exact"/>
        <w:rPr>
          <w:sz w:val="20"/>
          <w:szCs w:val="20"/>
          <w:color w:val="auto"/>
        </w:rPr>
      </w:pPr>
    </w:p>
    <w:p>
      <w:pPr>
        <w:jc w:val="both"/>
        <w:ind w:left="1480" w:hanging="589"/>
        <w:spacing w:after="0" w:line="256" w:lineRule="auto"/>
        <w:tabs>
          <w:tab w:leader="none" w:pos="1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Retention Bonus does not constitute remuneration for the Executive's work performance during the relevant retention period. The Parties acknowledge that the Executive is not required to deliver any specific work output as a condition of earning the Retention Bonus; rather, the Retention Bonus is a premium for the Executive remaining in his position through the applicable vesting dates. Accordingly, the Retention Bonus shall not be characterised as salary within the meaning of Section 17a of the Danish Salaried Employees Act (in Danish: "funktionærloven").</w:t>
      </w:r>
    </w:p>
    <w:p>
      <w:pPr>
        <w:spacing w:after="0" w:line="118" w:lineRule="exact"/>
        <w:rPr>
          <w:rFonts w:ascii="Arial" w:cs="Arial" w:eastAsia="Arial" w:hAnsi="Arial"/>
          <w:sz w:val="17"/>
          <w:szCs w:val="17"/>
          <w:color w:val="auto"/>
        </w:rPr>
      </w:pPr>
    </w:p>
    <w:p>
      <w:pPr>
        <w:jc w:val="both"/>
        <w:ind w:left="1480" w:hanging="589"/>
        <w:spacing w:after="0" w:line="247" w:lineRule="auto"/>
        <w:tabs>
          <w:tab w:leader="none" w:pos="14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the same reasons as set out in item (a) above, the Retention Bonus does not constitute salary qualifying for holiday pay within the meaning of Sections 18 and 19 of the Danish Holiday Act (in Danish: "ferieloven"), and accordingly no holiday allowance or holiday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supplement shall accrue in respect of any Retention Bonus payment made under the Agreement.</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color w:val="auto"/>
        </w:rPr>
        <w:t>Section 409A - Section 7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-13335</wp:posOffset>
            </wp:positionV>
            <wp:extent cx="20796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65" w:lineRule="exact"/>
        <w:rPr>
          <w:sz w:val="20"/>
          <w:szCs w:val="20"/>
          <w:color w:val="auto"/>
        </w:rPr>
      </w:pPr>
    </w:p>
    <w:p>
      <w:pPr>
        <w:jc w:val="both"/>
        <w:ind w:left="900" w:hanging="883"/>
        <w:spacing w:after="0" w:line="234" w:lineRule="auto"/>
        <w:tabs>
          <w:tab w:leader="none" w:pos="880" w:val="left"/>
        </w:tabs>
        <w:rPr>
          <w:sz w:val="20"/>
          <w:szCs w:val="20"/>
          <w:color w:val="auto"/>
        </w:rPr>
      </w:pPr>
      <w:r>
        <w:rPr>
          <w:rFonts w:ascii="Arial" w:cs="Arial" w:eastAsia="Arial" w:hAnsi="Arial"/>
          <w:sz w:val="17"/>
          <w:szCs w:val="17"/>
          <w:color w:val="auto"/>
        </w:rPr>
        <w:t>2.5.1</w:t>
      </w:r>
      <w:r>
        <w:rPr>
          <w:sz w:val="20"/>
          <w:szCs w:val="20"/>
          <w:color w:val="auto"/>
        </w:rPr>
        <w:tab/>
      </w:r>
      <w:r>
        <w:rPr>
          <w:rFonts w:ascii="Arial" w:cs="Arial" w:eastAsia="Arial" w:hAnsi="Arial"/>
          <w:sz w:val="17"/>
          <w:szCs w:val="17"/>
          <w:color w:val="auto"/>
        </w:rPr>
        <w:t>The Parties acknowledge and agree that Section 7 of the Agreement shall apply solely to any portion of the Retention Bonus that is subject to taxation under United States federal tax law.</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6"/>
          <w:szCs w:val="16"/>
          <w:color w:val="auto"/>
        </w:rPr>
        <w:t>Release, restrictive Covenants - Section 9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-13335</wp:posOffset>
            </wp:positionV>
            <wp:extent cx="285559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179" w:lineRule="exact"/>
        <w:rPr>
          <w:sz w:val="20"/>
          <w:szCs w:val="20"/>
          <w:color w:val="auto"/>
        </w:rPr>
      </w:pPr>
    </w:p>
    <w:p>
      <w:pPr>
        <w:jc w:val="both"/>
        <w:ind w:left="880" w:hanging="874"/>
        <w:spacing w:after="0" w:line="247" w:lineRule="auto"/>
        <w:tabs>
          <w:tab w:leader="none" w:pos="860" w:val="left"/>
        </w:tabs>
        <w:rPr>
          <w:sz w:val="20"/>
          <w:szCs w:val="20"/>
          <w:color w:val="auto"/>
        </w:rPr>
      </w:pPr>
      <w:r>
        <w:rPr>
          <w:rFonts w:ascii="Arial" w:cs="Arial" w:eastAsia="Arial" w:hAnsi="Arial"/>
          <w:sz w:val="17"/>
          <w:szCs w:val="17"/>
          <w:color w:val="auto"/>
        </w:rPr>
        <w:t>2.6.1</w:t>
      </w:r>
      <w:r>
        <w:rPr>
          <w:sz w:val="20"/>
          <w:szCs w:val="20"/>
          <w:color w:val="auto"/>
        </w:rPr>
        <w:tab/>
      </w:r>
      <w:r>
        <w:rPr>
          <w:rFonts w:ascii="Arial" w:cs="Arial" w:eastAsia="Arial" w:hAnsi="Arial"/>
          <w:sz w:val="17"/>
          <w:szCs w:val="17"/>
          <w:color w:val="auto"/>
        </w:rPr>
        <w:t>Any requirement under the Agreement for the Executive to issue a general release claim "in a form reasonably prescribed by the Company" shall be construed as a requirement to execute such release in a form reasonably required by not only the New Employer but also the Former Employer and/or the Parent Company.</w:t>
      </w:r>
    </w:p>
    <w:p>
      <w:pPr>
        <w:spacing w:after="0" w:line="150"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2.6.2</w:t>
      </w:r>
      <w:r>
        <w:rPr>
          <w:sz w:val="20"/>
          <w:szCs w:val="20"/>
          <w:color w:val="auto"/>
        </w:rPr>
        <w:tab/>
      </w:r>
      <w:r>
        <w:rPr>
          <w:rFonts w:ascii="Arial" w:cs="Arial" w:eastAsia="Arial" w:hAnsi="Arial"/>
          <w:sz w:val="17"/>
          <w:szCs w:val="17"/>
          <w:color w:val="auto"/>
        </w:rPr>
        <w:t>The second sentence of Section 9 of the Agreement shall be replaced in its entirety with the following:</w:t>
      </w:r>
    </w:p>
    <w:p>
      <w:pPr>
        <w:spacing w:after="0" w:line="199" w:lineRule="exact"/>
        <w:rPr>
          <w:sz w:val="20"/>
          <w:szCs w:val="20"/>
          <w:color w:val="auto"/>
        </w:rPr>
      </w:pPr>
    </w:p>
    <w:p>
      <w:pPr>
        <w:jc w:val="both"/>
        <w:ind w:left="900"/>
        <w:spacing w:after="0" w:line="257" w:lineRule="auto"/>
        <w:rPr>
          <w:sz w:val="20"/>
          <w:szCs w:val="20"/>
          <w:color w:val="auto"/>
        </w:rPr>
      </w:pPr>
      <w:r>
        <w:rPr>
          <w:rFonts w:ascii="Arial" w:cs="Arial" w:eastAsia="Arial" w:hAnsi="Arial"/>
          <w:sz w:val="17"/>
          <w:szCs w:val="17"/>
          <w:color w:val="auto"/>
        </w:rPr>
        <w:t>Any unpaid portion of the Retention Bonus shall be automatically forfeited if the Executive breaches any non-competition, non-solicitation or other restrictive covenant contained in any employment agreement, restrictive covenant agreement or other agreement between the Executive and any of the Former Employer, the Parent Company, the New Employer or any of their respective affiliates, whether entered into prior to, on or following the Addendum Effective Date (collectively, the "Continuing Obligations"), where such breach would give rise to a right of the New Employer (or, in respect of the period prior to the Addendum Effective Date, the Former Employer) to terminate the Executive's employment for Cause. The Executive hereby reaffirms all such Continuing Obligations.</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color w:val="auto"/>
        </w:rPr>
        <w:t>Entire Agreement - Section 16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-13335</wp:posOffset>
            </wp:positionV>
            <wp:extent cx="231584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315845" cy="8255"/>
                    </a:xfrm>
                    <a:prstGeom prst="rect">
                      <a:avLst/>
                    </a:prstGeom>
                    <a:noFill/>
                  </pic:spPr>
                </pic:pic>
              </a:graphicData>
            </a:graphic>
          </wp:anchor>
        </w:drawing>
      </w:r>
    </w:p>
    <w:p>
      <w:pPr>
        <w:spacing w:after="0" w:line="13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2.7.1</w:t>
      </w:r>
      <w:r>
        <w:rPr>
          <w:sz w:val="20"/>
          <w:szCs w:val="20"/>
          <w:color w:val="auto"/>
        </w:rPr>
        <w:tab/>
      </w:r>
      <w:r>
        <w:rPr>
          <w:rFonts w:ascii="Arial" w:cs="Arial" w:eastAsia="Arial" w:hAnsi="Arial"/>
          <w:sz w:val="17"/>
          <w:szCs w:val="17"/>
          <w:color w:val="auto"/>
        </w:rPr>
        <w:t>The first sentence of Section 16 of the Agreement shall be replaced in its entirety with the following:</w:t>
      </w:r>
    </w:p>
    <w:p>
      <w:pPr>
        <w:spacing w:after="0" w:line="199" w:lineRule="exact"/>
        <w:rPr>
          <w:sz w:val="20"/>
          <w:szCs w:val="20"/>
          <w:color w:val="auto"/>
        </w:rPr>
      </w:pPr>
    </w:p>
    <w:p>
      <w:pPr>
        <w:jc w:val="both"/>
        <w:ind w:left="900" w:right="20"/>
        <w:spacing w:after="0" w:line="253" w:lineRule="auto"/>
        <w:rPr>
          <w:sz w:val="20"/>
          <w:szCs w:val="20"/>
          <w:color w:val="auto"/>
        </w:rPr>
      </w:pPr>
      <w:r>
        <w:rPr>
          <w:rFonts w:ascii="Arial" w:cs="Arial" w:eastAsia="Arial" w:hAnsi="Arial"/>
          <w:sz w:val="17"/>
          <w:szCs w:val="17"/>
          <w:color w:val="auto"/>
        </w:rPr>
        <w:t>This Addendum, together with the Agreement and the Agreements mentioned in Section 16 of the Agreement save for the Employment Agreement with respect to its subject matter and supersedes any and all prior agreements or understandings between the Executive and the Former Employer and/or its affiliates (including Satcom Direct) with respect to the subject matter thereof, whether written or oral , including the Plan and the Award Agreement.</w:t>
      </w:r>
    </w:p>
    <w:p>
      <w:pPr>
        <w:spacing w:after="0" w:line="159" w:lineRule="exact"/>
        <w:rPr>
          <w:sz w:val="20"/>
          <w:szCs w:val="20"/>
          <w:color w:val="auto"/>
        </w:rPr>
      </w:pPr>
    </w:p>
    <w:p>
      <w:pPr>
        <w:ind w:left="900" w:hanging="892"/>
        <w:spacing w:after="0"/>
        <w:tabs>
          <w:tab w:leader="none" w:pos="900" w:val="left"/>
        </w:tabs>
        <w:numPr>
          <w:ilvl w:val="0"/>
          <w:numId w:val="59"/>
        </w:numPr>
        <w:rPr>
          <w:rFonts w:ascii="Arial" w:cs="Arial" w:eastAsia="Arial" w:hAnsi="Arial"/>
          <w:sz w:val="17"/>
          <w:szCs w:val="17"/>
          <w:color w:val="auto"/>
          <w:highlight w:val="black"/>
        </w:rPr>
      </w:pPr>
      <w:r>
        <w:rPr>
          <w:rFonts w:ascii="Arial" w:cs="Arial" w:eastAsia="Arial" w:hAnsi="Arial"/>
          <w:sz w:val="17"/>
          <w:szCs w:val="17"/>
          <w:color w:val="auto"/>
          <w:highlight w:val="black"/>
        </w:rPr>
        <w:t>MISCELLANEOUS</w:t>
      </w:r>
    </w:p>
    <w:p>
      <w:pPr>
        <w:spacing w:after="0" w:line="185" w:lineRule="exact"/>
        <w:rPr>
          <w:sz w:val="20"/>
          <w:szCs w:val="20"/>
          <w:color w:val="auto"/>
        </w:rPr>
      </w:pPr>
    </w:p>
    <w:p>
      <w:pPr>
        <w:ind w:left="900" w:hanging="883"/>
        <w:spacing w:after="0" w:line="234" w:lineRule="auto"/>
        <w:tabs>
          <w:tab w:leader="none" w:pos="8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Save as expressly set out in this Addendum, the Agreement shall remain unamended and in full force and effect. In the event of any inconsistency between this Addendum and the Agreement, the terms of this Addendum shall prevail.</w:t>
      </w:r>
    </w:p>
    <w:p>
      <w:pPr>
        <w:spacing w:after="0" w:line="199" w:lineRule="exact"/>
        <w:rPr>
          <w:sz w:val="20"/>
          <w:szCs w:val="20"/>
          <w:color w:val="auto"/>
        </w:rPr>
      </w:pPr>
    </w:p>
    <w:p>
      <w:pPr>
        <w:ind w:left="900" w:hanging="883"/>
        <w:spacing w:after="0" w:line="234" w:lineRule="auto"/>
        <w:tabs>
          <w:tab w:leader="none" w:pos="8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This Addendum shall be governed by and construed in accordance with the laws of the State of Colorado, without giving effect to any choice of law or conflict of law rules or provisions, consistent with the governing law clause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84455" cy="1085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4455" cy="108585"/>
                    </a:xfrm>
                    <a:prstGeom prst="rect">
                      <a:avLst/>
                    </a:prstGeom>
                    <a:noFill/>
                  </pic:spPr>
                </pic:pic>
              </a:graphicData>
            </a:graphic>
          </wp:anchor>
        </w:drawing>
      </w:r>
    </w:p>
    <w:p>
      <w:pPr>
        <w:spacing w:after="0" w:line="150" w:lineRule="exact"/>
        <w:rPr>
          <w:sz w:val="20"/>
          <w:szCs w:val="20"/>
          <w:color w:val="auto"/>
        </w:rPr>
      </w:pPr>
    </w:p>
    <w:p>
      <w:pPr>
        <w:ind w:left="900" w:hanging="892"/>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highlight w:val="black"/>
        </w:rPr>
        <w:t>SIGNING</w:t>
      </w:r>
    </w:p>
    <w:p>
      <w:pPr>
        <w:spacing w:after="0" w:line="15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This Addendum is executed in four copies, each to be duly signed by the Parties. Each Party retains one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gridSpan w:val="3"/>
          </w:tcPr>
          <w:p>
            <w:pPr>
              <w:spacing w:after="0"/>
              <w:rPr>
                <w:sz w:val="20"/>
                <w:szCs w:val="20"/>
                <w:color w:val="auto"/>
              </w:rPr>
            </w:pPr>
            <w:r>
              <w:rPr>
                <w:rFonts w:ascii="Arial" w:cs="Arial" w:eastAsia="Arial" w:hAnsi="Arial"/>
                <w:sz w:val="17"/>
                <w:szCs w:val="17"/>
                <w:color w:val="auto"/>
              </w:rPr>
              <w:t>Gogo Business Aviation LLC</w:t>
            </w:r>
          </w:p>
        </w:tc>
        <w:tc>
          <w:tcPr>
            <w:tcW w:w="1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96"/>
        </w:trPr>
        <w:tc>
          <w:tcPr>
            <w:tcW w:w="240" w:type="dxa"/>
            <w:vAlign w:val="bottom"/>
          </w:tcPr>
          <w:p>
            <w:pPr>
              <w:spacing w:after="0"/>
              <w:rPr>
                <w:sz w:val="20"/>
                <w:szCs w:val="20"/>
                <w:color w:val="auto"/>
              </w:rPr>
            </w:pPr>
            <w:r>
              <w:rPr>
                <w:rFonts w:ascii="Arial" w:cs="Arial" w:eastAsia="Arial" w:hAnsi="Arial"/>
                <w:sz w:val="17"/>
                <w:szCs w:val="17"/>
                <w:color w:val="auto"/>
              </w:rPr>
              <w:t>By</w:t>
            </w:r>
          </w:p>
        </w:tc>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Crystal L. Gordon</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8"/>
              </w:rPr>
              <w:t>/s/ Michael Christensen</w:t>
            </w:r>
          </w:p>
        </w:tc>
        <w:tc>
          <w:tcPr>
            <w:tcW w:w="20" w:type="dxa"/>
            <w:vAlign w:val="bottom"/>
          </w:tcPr>
          <w:p>
            <w:pPr>
              <w:spacing w:after="0"/>
              <w:rPr>
                <w:sz w:val="24"/>
                <w:szCs w:val="24"/>
                <w:color w:val="auto"/>
              </w:rPr>
            </w:pPr>
          </w:p>
        </w:tc>
      </w:tr>
      <w:tr>
        <w:trPr>
          <w:trHeight w:val="364"/>
        </w:trPr>
        <w:tc>
          <w:tcPr>
            <w:tcW w:w="2660" w:type="dxa"/>
            <w:vAlign w:val="bottom"/>
            <w:gridSpan w:val="3"/>
          </w:tcPr>
          <w:p>
            <w:pPr>
              <w:spacing w:after="0"/>
              <w:rPr>
                <w:sz w:val="20"/>
                <w:szCs w:val="20"/>
                <w:color w:val="auto"/>
              </w:rPr>
            </w:pPr>
            <w:r>
              <w:rPr>
                <w:rFonts w:ascii="Arial" w:cs="Arial" w:eastAsia="Arial" w:hAnsi="Arial"/>
                <w:sz w:val="17"/>
                <w:szCs w:val="17"/>
                <w:color w:val="auto"/>
              </w:rPr>
              <w:t>Name:   Crystal L. Gordon</w:t>
            </w:r>
          </w:p>
        </w:tc>
        <w:tc>
          <w:tcPr>
            <w:tcW w:w="3080" w:type="dxa"/>
            <w:vAlign w:val="bottom"/>
            <w:gridSpan w:val="3"/>
          </w:tcPr>
          <w:p>
            <w:pPr>
              <w:ind w:left="580"/>
              <w:spacing w:after="0"/>
              <w:rPr>
                <w:sz w:val="20"/>
                <w:szCs w:val="20"/>
                <w:color w:val="auto"/>
              </w:rPr>
            </w:pPr>
            <w:r>
              <w:rPr>
                <w:rFonts w:ascii="Arial" w:cs="Arial" w:eastAsia="Arial" w:hAnsi="Arial"/>
                <w:sz w:val="17"/>
                <w:szCs w:val="17"/>
                <w:color w:val="auto"/>
              </w:rPr>
              <w:t>Michael Christensen</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Title: EVP, General Counsel,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Chief Administrative Officer and Secretary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Gogo Inc.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By /s/ 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-13335</wp:posOffset>
            </wp:positionV>
            <wp:extent cx="99441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49"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Name:</w:t>
        <w:tab/>
        <w:t>Crystal L. Gordon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Title: EVP, General Counsel,</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Chief Administrative Officer and Secretary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For and on behalf of</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Gogo Denmark ApS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By /s/ Chris MacFarlane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-13335</wp:posOffset>
            </wp:positionV>
            <wp:extent cx="97980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Name:</w:t>
        <w:tab/>
        <w:t>Chris MacFarlane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Title: Member of the Executive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b w:val="1"/>
          <w:bCs w:val="1"/>
          <w:color w:val="212121"/>
        </w:rPr>
        <w:t>CHANGE IN CONTROL SEVERANCE AGREEMENT</w:t>
      </w:r>
    </w:p>
    <w:p>
      <w:pPr>
        <w:spacing w:after="0" w:line="211" w:lineRule="exact"/>
        <w:rPr>
          <w:sz w:val="20"/>
          <w:szCs w:val="20"/>
          <w:color w:val="auto"/>
        </w:rPr>
      </w:pPr>
    </w:p>
    <w:p>
      <w:pPr>
        <w:jc w:val="both"/>
        <w:ind w:left="20" w:right="280" w:hanging="2"/>
        <w:spacing w:after="0" w:line="239" w:lineRule="auto"/>
        <w:rPr>
          <w:sz w:val="20"/>
          <w:szCs w:val="20"/>
          <w:color w:val="auto"/>
        </w:rPr>
      </w:pPr>
      <w:r>
        <w:rPr>
          <w:rFonts w:ascii="Times New Roman" w:cs="Times New Roman" w:eastAsia="Times New Roman" w:hAnsi="Times New Roman"/>
          <w:sz w:val="22"/>
          <w:szCs w:val="22"/>
          <w:color w:val="212121"/>
        </w:rPr>
        <w:t xml:space="preserve">This Change in Control Severance Agreement, entered into on September 1, 2026 (this </w:t>
      </w:r>
      <w:r>
        <w:rPr>
          <w:rFonts w:ascii="Times New Roman" w:cs="Times New Roman" w:eastAsia="Times New Roman" w:hAnsi="Times New Roman"/>
          <w:sz w:val="20"/>
          <w:szCs w:val="20"/>
          <w:b w:val="1"/>
          <w:bCs w:val="1"/>
          <w:i w:val="1"/>
          <w:iCs w:val="1"/>
          <w:color w:val="212121"/>
        </w:rPr>
        <w:t>"Agreement")</w:t>
      </w:r>
      <w:r>
        <w:rPr>
          <w:rFonts w:ascii="Times New Roman" w:cs="Times New Roman" w:eastAsia="Times New Roman" w:hAnsi="Times New Roman"/>
          <w:sz w:val="22"/>
          <w:szCs w:val="22"/>
          <w:color w:val="212121"/>
        </w:rPr>
        <w:t xml:space="preserve"> by and between Gogo Inc., a Delaware corporation (the </w:t>
      </w:r>
      <w:r>
        <w:rPr>
          <w:rFonts w:ascii="Times New Roman" w:cs="Times New Roman" w:eastAsia="Times New Roman" w:hAnsi="Times New Roman"/>
          <w:sz w:val="20"/>
          <w:szCs w:val="20"/>
          <w:b w:val="1"/>
          <w:bCs w:val="1"/>
          <w:i w:val="1"/>
          <w:iCs w:val="1"/>
          <w:color w:val="212121"/>
        </w:rPr>
        <w:t>"Company")</w:t>
      </w:r>
      <w:r>
        <w:rPr>
          <w:rFonts w:ascii="Times New Roman" w:cs="Times New Roman" w:eastAsia="Times New Roman" w:hAnsi="Times New Roman"/>
          <w:sz w:val="20"/>
          <w:szCs w:val="20"/>
          <w:i w:val="1"/>
          <w:iCs w:val="1"/>
          <w:color w:val="212121"/>
        </w:rPr>
        <w:t>,</w:t>
      </w:r>
      <w:r>
        <w:rPr>
          <w:rFonts w:ascii="Times New Roman" w:cs="Times New Roman" w:eastAsia="Times New Roman" w:hAnsi="Times New Roman"/>
          <w:sz w:val="22"/>
          <w:szCs w:val="22"/>
          <w:color w:val="212121"/>
        </w:rPr>
        <w:t xml:space="preserve"> and Michael Christensen </w:t>
      </w:r>
      <w:r>
        <w:rPr>
          <w:rFonts w:ascii="Times New Roman" w:cs="Times New Roman" w:eastAsia="Times New Roman" w:hAnsi="Times New Roman"/>
          <w:sz w:val="20"/>
          <w:szCs w:val="20"/>
          <w:b w:val="1"/>
          <w:bCs w:val="1"/>
          <w:i w:val="1"/>
          <w:iCs w:val="1"/>
          <w:color w:val="212121"/>
        </w:rPr>
        <w:t>("Executive"),</w:t>
      </w:r>
      <w:r>
        <w:rPr>
          <w:rFonts w:ascii="Times New Roman" w:cs="Times New Roman" w:eastAsia="Times New Roman" w:hAnsi="Times New Roman"/>
          <w:sz w:val="22"/>
          <w:szCs w:val="22"/>
          <w:color w:val="212121"/>
        </w:rPr>
        <w:t xml:space="preserve"> is made effective as of the Effective Date (as defined below). Certain capitalized terms used herein have the meanings given to them in Section </w:t>
      </w:r>
      <w:r>
        <w:rPr>
          <w:rFonts w:ascii="Times New Roman" w:cs="Times New Roman" w:eastAsia="Times New Roman" w:hAnsi="Times New Roman"/>
          <w:sz w:val="22"/>
          <w:szCs w:val="22"/>
          <w:color w:val="363636"/>
        </w:rPr>
        <w:t>15</w:t>
      </w:r>
      <w:r>
        <w:rPr>
          <w:rFonts w:ascii="Times New Roman" w:cs="Times New Roman" w:eastAsia="Times New Roman" w:hAnsi="Times New Roman"/>
          <w:sz w:val="22"/>
          <w:szCs w:val="22"/>
          <w:color w:val="212121"/>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6149340</wp:posOffset>
            </wp:positionH>
            <wp:positionV relativeFrom="paragraph">
              <wp:posOffset>-184785</wp:posOffset>
            </wp:positionV>
            <wp:extent cx="6000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2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8" w:lineRule="exact"/>
        <w:rPr>
          <w:sz w:val="20"/>
          <w:szCs w:val="20"/>
          <w:color w:val="auto"/>
        </w:rPr>
      </w:pPr>
    </w:p>
    <w:p>
      <w:pPr>
        <w:jc w:val="both"/>
        <w:ind w:left="20" w:right="280" w:firstLine="4"/>
        <w:spacing w:after="0" w:line="251" w:lineRule="auto"/>
        <w:rPr>
          <w:sz w:val="20"/>
          <w:szCs w:val="20"/>
          <w:color w:val="auto"/>
        </w:rPr>
      </w:pPr>
      <w:r>
        <w:rPr>
          <w:rFonts w:ascii="Times New Roman" w:cs="Times New Roman" w:eastAsia="Times New Roman" w:hAnsi="Times New Roman"/>
          <w:sz w:val="21"/>
          <w:szCs w:val="21"/>
          <w:b w:val="1"/>
          <w:bCs w:val="1"/>
          <w:color w:val="212121"/>
        </w:rPr>
        <w:t xml:space="preserve">WHEREAS, </w:t>
      </w:r>
      <w:r>
        <w:rPr>
          <w:rFonts w:ascii="Times New Roman" w:cs="Times New Roman" w:eastAsia="Times New Roman" w:hAnsi="Times New Roman"/>
          <w:sz w:val="21"/>
          <w:szCs w:val="21"/>
          <w:color w:val="212121"/>
        </w:rPr>
        <w:t>the Board of Directors of the Company (the</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b w:val="1"/>
          <w:bCs w:val="1"/>
          <w:i w:val="1"/>
          <w:iCs w:val="1"/>
          <w:color w:val="212121"/>
        </w:rPr>
        <w:t>"Board'')</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considers the maintenance of a sound management to</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be essential to protecting and enhancing the best interests of the Company and its stockholders and, in this connection, recognizes that the possibility of a Change in Control may exist from time to time, and that this possibility, and the uncertainty and questions it may raise among management, may result in the departure or distraction of management personnel to the detriment of the Company and its stockholders;</w:t>
      </w:r>
    </w:p>
    <w:p>
      <w:pPr>
        <w:spacing w:after="0" w:line="155" w:lineRule="exact"/>
        <w:rPr>
          <w:sz w:val="20"/>
          <w:szCs w:val="20"/>
          <w:color w:val="auto"/>
        </w:rPr>
      </w:pPr>
    </w:p>
    <w:p>
      <w:pPr>
        <w:jc w:val="both"/>
        <w:ind w:left="20" w:right="280" w:firstLine="1"/>
        <w:spacing w:after="0" w:line="261" w:lineRule="auto"/>
        <w:rPr>
          <w:sz w:val="20"/>
          <w:szCs w:val="20"/>
          <w:color w:val="auto"/>
        </w:rPr>
      </w:pPr>
      <w:r>
        <w:rPr>
          <w:rFonts w:ascii="Times New Roman" w:cs="Times New Roman" w:eastAsia="Times New Roman" w:hAnsi="Times New Roman"/>
          <w:sz w:val="21"/>
          <w:szCs w:val="21"/>
          <w:b w:val="1"/>
          <w:bCs w:val="1"/>
          <w:color w:val="212121"/>
        </w:rPr>
        <w:t xml:space="preserve">WHEREAS, </w:t>
      </w:r>
      <w:r>
        <w:rPr>
          <w:rFonts w:ascii="Times New Roman" w:cs="Times New Roman" w:eastAsia="Times New Roman" w:hAnsi="Times New Roman"/>
          <w:sz w:val="21"/>
          <w:szCs w:val="21"/>
          <w:color w:val="212121"/>
        </w:rPr>
        <w:t>the Board has determined that appropriate steps should be taken to encourage the continued attention and</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dedication of members of management of the Company and its Subsidiaries to their assigned duties without the distraction which may arise from the possibility of a Change in Control;</w:t>
      </w:r>
    </w:p>
    <w:p>
      <w:pPr>
        <w:spacing w:after="0" w:line="157" w:lineRule="exact"/>
        <w:rPr>
          <w:sz w:val="20"/>
          <w:szCs w:val="20"/>
          <w:color w:val="auto"/>
        </w:rPr>
      </w:pPr>
    </w:p>
    <w:p>
      <w:pPr>
        <w:jc w:val="both"/>
        <w:ind w:right="200" w:firstLine="2"/>
        <w:spacing w:after="0" w:line="255" w:lineRule="auto"/>
        <w:rPr>
          <w:sz w:val="20"/>
          <w:szCs w:val="20"/>
          <w:color w:val="auto"/>
        </w:rPr>
      </w:pPr>
      <w:r>
        <w:rPr>
          <w:rFonts w:ascii="Times New Roman" w:cs="Times New Roman" w:eastAsia="Times New Roman" w:hAnsi="Times New Roman"/>
          <w:sz w:val="21"/>
          <w:szCs w:val="21"/>
          <w:b w:val="1"/>
          <w:bCs w:val="1"/>
          <w:color w:val="212121"/>
        </w:rPr>
        <w:t xml:space="preserve">WHEREAS, </w:t>
      </w:r>
      <w:r>
        <w:rPr>
          <w:rFonts w:ascii="Times New Roman" w:cs="Times New Roman" w:eastAsia="Times New Roman" w:hAnsi="Times New Roman"/>
          <w:sz w:val="21"/>
          <w:szCs w:val="21"/>
          <w:color w:val="212121"/>
        </w:rPr>
        <w:t>pursuant to that certain Purchase Agreement, by and among the Company, Gogo Direct Holdings LLC, the</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 xml:space="preserve">Sellers (as defined therein), Satcom Direct, Inc., a Florida corporation </w:t>
      </w:r>
      <w:r>
        <w:rPr>
          <w:rFonts w:ascii="Times New Roman" w:cs="Times New Roman" w:eastAsia="Times New Roman" w:hAnsi="Times New Roman"/>
          <w:sz w:val="20"/>
          <w:szCs w:val="20"/>
          <w:b w:val="1"/>
          <w:bCs w:val="1"/>
          <w:i w:val="1"/>
          <w:iCs w:val="1"/>
          <w:color w:val="212121"/>
        </w:rPr>
        <w:t>("Satcom Direct")</w:t>
      </w:r>
      <w:r>
        <w:rPr>
          <w:rFonts w:ascii="Times New Roman" w:cs="Times New Roman" w:eastAsia="Times New Roman" w:hAnsi="Times New Roman"/>
          <w:sz w:val="21"/>
          <w:szCs w:val="21"/>
          <w:color w:val="212121"/>
        </w:rPr>
        <w:t xml:space="preserve"> and other parties thereto, dated as of September 29, 2024, among other things, the Company acquired the equity interests of Satcom Direct (together with other transactions contemplated by the Purchase Agreement, the </w:t>
      </w:r>
      <w:r>
        <w:rPr>
          <w:rFonts w:ascii="Times New Roman" w:cs="Times New Roman" w:eastAsia="Times New Roman" w:hAnsi="Times New Roman"/>
          <w:sz w:val="20"/>
          <w:szCs w:val="20"/>
          <w:b w:val="1"/>
          <w:bCs w:val="1"/>
          <w:i w:val="1"/>
          <w:iCs w:val="1"/>
          <w:color w:val="212121"/>
        </w:rPr>
        <w:t>"Transaction")</w:t>
      </w:r>
      <w:r>
        <w:rPr>
          <w:rFonts w:ascii="Times New Roman" w:cs="Times New Roman" w:eastAsia="Times New Roman" w:hAnsi="Times New Roman"/>
          <w:sz w:val="20"/>
          <w:szCs w:val="20"/>
          <w:color w:val="212121"/>
        </w:rPr>
        <w:t>;</w:t>
      </w:r>
    </w:p>
    <w:p>
      <w:pPr>
        <w:spacing w:after="0" w:line="162" w:lineRule="exact"/>
        <w:rPr>
          <w:sz w:val="20"/>
          <w:szCs w:val="20"/>
          <w:color w:val="auto"/>
        </w:rPr>
      </w:pPr>
    </w:p>
    <w:p>
      <w:pPr>
        <w:jc w:val="both"/>
        <w:ind w:right="280" w:firstLine="2"/>
        <w:spacing w:after="0" w:line="255" w:lineRule="auto"/>
        <w:rPr>
          <w:sz w:val="20"/>
          <w:szCs w:val="20"/>
          <w:color w:val="auto"/>
        </w:rPr>
      </w:pPr>
      <w:r>
        <w:rPr>
          <w:rFonts w:ascii="Times New Roman" w:cs="Times New Roman" w:eastAsia="Times New Roman" w:hAnsi="Times New Roman"/>
          <w:sz w:val="21"/>
          <w:szCs w:val="21"/>
          <w:b w:val="1"/>
          <w:bCs w:val="1"/>
          <w:color w:val="212121"/>
        </w:rPr>
        <w:t xml:space="preserve">WHEREAS, </w:t>
      </w:r>
      <w:r>
        <w:rPr>
          <w:rFonts w:ascii="Times New Roman" w:cs="Times New Roman" w:eastAsia="Times New Roman" w:hAnsi="Times New Roman"/>
          <w:sz w:val="21"/>
          <w:szCs w:val="21"/>
          <w:color w:val="212121"/>
        </w:rPr>
        <w:t>in connection with the Transaction and Executive's employment with Gogo Business Aviation LLC, a</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Delaware limited liability company and a subsidiary of the Company (</w:t>
      </w:r>
      <w:r>
        <w:rPr>
          <w:rFonts w:ascii="Times New Roman" w:cs="Times New Roman" w:eastAsia="Times New Roman" w:hAnsi="Times New Roman"/>
          <w:sz w:val="21"/>
          <w:szCs w:val="21"/>
          <w:i w:val="1"/>
          <w:iCs w:val="1"/>
          <w:color w:val="212121"/>
        </w:rPr>
        <w:t>"</w:t>
      </w:r>
      <w:r>
        <w:rPr>
          <w:rFonts w:ascii="Times New Roman" w:cs="Times New Roman" w:eastAsia="Times New Roman" w:hAnsi="Times New Roman"/>
          <w:sz w:val="21"/>
          <w:szCs w:val="21"/>
          <w:b w:val="1"/>
          <w:bCs w:val="1"/>
          <w:i w:val="1"/>
          <w:iCs w:val="1"/>
          <w:color w:val="212121"/>
        </w:rPr>
        <w:t>Former Employer</w:t>
      </w:r>
      <w:r>
        <w:rPr>
          <w:rFonts w:ascii="Times New Roman" w:cs="Times New Roman" w:eastAsia="Times New Roman" w:hAnsi="Times New Roman"/>
          <w:sz w:val="21"/>
          <w:szCs w:val="21"/>
          <w:i w:val="1"/>
          <w:iCs w:val="1"/>
          <w:color w:val="212121"/>
        </w:rPr>
        <w:t>"</w:t>
      </w:r>
      <w:r>
        <w:rPr>
          <w:rFonts w:ascii="Times New Roman" w:cs="Times New Roman" w:eastAsia="Times New Roman" w:hAnsi="Times New Roman"/>
          <w:sz w:val="21"/>
          <w:szCs w:val="21"/>
          <w:color w:val="212121"/>
        </w:rPr>
        <w:t xml:space="preserve">) </w:t>
      </w:r>
      <w:r>
        <w:rPr>
          <w:rFonts w:ascii="Times New Roman" w:cs="Times New Roman" w:eastAsia="Times New Roman" w:hAnsi="Times New Roman"/>
          <w:sz w:val="20"/>
          <w:szCs w:val="20"/>
          <w:color w:val="212121"/>
        </w:rPr>
        <w:t>that</w:t>
      </w:r>
      <w:r>
        <w:rPr>
          <w:rFonts w:ascii="Times New Roman" w:cs="Times New Roman" w:eastAsia="Times New Roman" w:hAnsi="Times New Roman"/>
          <w:sz w:val="21"/>
          <w:szCs w:val="21"/>
          <w:color w:val="212121"/>
        </w:rPr>
        <w:t xml:space="preserve"> commenced on the date of the consummation of the Transaction the Company and Executive entered into a Change in Control Severance Agreement dated 19 November 2024 (the </w:t>
      </w:r>
      <w:r>
        <w:rPr>
          <w:rFonts w:ascii="Times New Roman" w:cs="Times New Roman" w:eastAsia="Times New Roman" w:hAnsi="Times New Roman"/>
          <w:sz w:val="21"/>
          <w:szCs w:val="21"/>
          <w:i w:val="1"/>
          <w:iCs w:val="1"/>
          <w:color w:val="212121"/>
        </w:rPr>
        <w:t>"</w:t>
      </w:r>
      <w:r>
        <w:rPr>
          <w:rFonts w:ascii="Times New Roman" w:cs="Times New Roman" w:eastAsia="Times New Roman" w:hAnsi="Times New Roman"/>
          <w:sz w:val="21"/>
          <w:szCs w:val="21"/>
          <w:b w:val="1"/>
          <w:bCs w:val="1"/>
          <w:i w:val="1"/>
          <w:iCs w:val="1"/>
          <w:color w:val="212121"/>
        </w:rPr>
        <w:t>Former Agreement</w:t>
      </w:r>
      <w:r>
        <w:rPr>
          <w:rFonts w:ascii="Times New Roman" w:cs="Times New Roman" w:eastAsia="Times New Roman" w:hAnsi="Times New Roman"/>
          <w:sz w:val="21"/>
          <w:szCs w:val="21"/>
          <w:i w:val="1"/>
          <w:iCs w:val="1"/>
          <w:color w:val="212121"/>
        </w:rPr>
        <w:t>"</w:t>
      </w:r>
      <w:r>
        <w:rPr>
          <w:rFonts w:ascii="Times New Roman" w:cs="Times New Roman" w:eastAsia="Times New Roman" w:hAnsi="Times New Roman"/>
          <w:sz w:val="21"/>
          <w:szCs w:val="21"/>
          <w:color w:val="212121"/>
        </w:rPr>
        <w:t>);</w:t>
      </w:r>
    </w:p>
    <w:p>
      <w:pPr>
        <w:spacing w:after="0" w:line="237" w:lineRule="exact"/>
        <w:rPr>
          <w:sz w:val="20"/>
          <w:szCs w:val="20"/>
          <w:color w:val="auto"/>
        </w:rPr>
      </w:pPr>
    </w:p>
    <w:p>
      <w:pPr>
        <w:ind w:left="20" w:right="40"/>
        <w:spacing w:after="0" w:line="264" w:lineRule="auto"/>
        <w:rPr>
          <w:sz w:val="20"/>
          <w:szCs w:val="20"/>
          <w:color w:val="auto"/>
        </w:rPr>
      </w:pPr>
      <w:r>
        <w:rPr>
          <w:rFonts w:ascii="Times New Roman" w:cs="Times New Roman" w:eastAsia="Times New Roman" w:hAnsi="Times New Roman"/>
          <w:sz w:val="21"/>
          <w:szCs w:val="21"/>
          <w:b w:val="1"/>
          <w:bCs w:val="1"/>
          <w:color w:val="212121"/>
        </w:rPr>
        <w:t xml:space="preserve">WHEREAS, </w:t>
      </w:r>
      <w:r>
        <w:rPr>
          <w:rFonts w:ascii="Times New Roman" w:cs="Times New Roman" w:eastAsia="Times New Roman" w:hAnsi="Times New Roman"/>
          <w:sz w:val="21"/>
          <w:szCs w:val="21"/>
          <w:color w:val="212121"/>
        </w:rPr>
        <w:t>with effect from September 1, 2026 (the</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i w:val="1"/>
          <w:iCs w:val="1"/>
          <w:color w:val="212121"/>
        </w:rPr>
        <w:t>"</w:t>
      </w:r>
      <w:r>
        <w:rPr>
          <w:rFonts w:ascii="Times New Roman" w:cs="Times New Roman" w:eastAsia="Times New Roman" w:hAnsi="Times New Roman"/>
          <w:sz w:val="21"/>
          <w:szCs w:val="21"/>
          <w:b w:val="1"/>
          <w:bCs w:val="1"/>
          <w:i w:val="1"/>
          <w:iCs w:val="1"/>
          <w:color w:val="212121"/>
        </w:rPr>
        <w:t>Effective Date</w:t>
      </w:r>
      <w:r>
        <w:rPr>
          <w:rFonts w:ascii="Times New Roman" w:cs="Times New Roman" w:eastAsia="Times New Roman" w:hAnsi="Times New Roman"/>
          <w:sz w:val="21"/>
          <w:szCs w:val="21"/>
          <w:i w:val="1"/>
          <w:iCs w:val="1"/>
          <w:color w:val="212121"/>
        </w:rPr>
        <w:t>"),</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the Executive's employment will be transferred from</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the Former Employer to Gogo Denmark ApS (</w:t>
      </w:r>
      <w:r>
        <w:rPr>
          <w:rFonts w:ascii="Times New Roman" w:cs="Times New Roman" w:eastAsia="Times New Roman" w:hAnsi="Times New Roman"/>
          <w:sz w:val="21"/>
          <w:szCs w:val="21"/>
          <w:b w:val="1"/>
          <w:bCs w:val="1"/>
          <w:i w:val="1"/>
          <w:iCs w:val="1"/>
          <w:color w:val="212121"/>
        </w:rPr>
        <w:t>"New Employer"</w:t>
      </w:r>
      <w:r>
        <w:rPr>
          <w:rFonts w:ascii="Times New Roman" w:cs="Times New Roman" w:eastAsia="Times New Roman" w:hAnsi="Times New Roman"/>
          <w:sz w:val="21"/>
          <w:szCs w:val="21"/>
          <w:color w:val="212121"/>
        </w:rPr>
        <w:t>), an indirect subsidiary of the Company and a member of the Company Group;</w:t>
      </w:r>
    </w:p>
    <w:p>
      <w:pPr>
        <w:spacing w:after="0" w:line="24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21"/>
          <w:szCs w:val="21"/>
          <w:b w:val="1"/>
          <w:bCs w:val="1"/>
          <w:color w:val="212121"/>
        </w:rPr>
        <w:t xml:space="preserve">WHEREAS, </w:t>
      </w:r>
      <w:r>
        <w:rPr>
          <w:rFonts w:ascii="Times New Roman" w:cs="Times New Roman" w:eastAsia="Times New Roman" w:hAnsi="Times New Roman"/>
          <w:sz w:val="21"/>
          <w:szCs w:val="21"/>
          <w:color w:val="212121"/>
        </w:rPr>
        <w:t>the Parties wish to enter into this Agreement which, with effect from the Effective Date, shall replace the</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Former Agreement in its entirety, and which is intended to reflect substantially similar terms to those of the Former Agreement, subject to such consequential amendments as are necessary in connection with the transfer of the Executive's employment to the New Employer, necessitating the entry into this Agreement.</w:t>
      </w:r>
    </w:p>
    <w:p>
      <w:pPr>
        <w:spacing w:after="0" w:line="203"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0"/>
          <w:szCs w:val="20"/>
          <w:b w:val="1"/>
          <w:bCs w:val="1"/>
          <w:color w:val="212121"/>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1049655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212121"/>
        </w:rPr>
        <w:t>In consideration of the mutual covenants contained herein, the parties agree as follows:</w:t>
      </w:r>
    </w:p>
    <w:p>
      <w:pPr>
        <w:spacing w:after="0" w:line="206" w:lineRule="exact"/>
        <w:rPr>
          <w:sz w:val="20"/>
          <w:szCs w:val="20"/>
          <w:color w:val="auto"/>
        </w:rPr>
      </w:pPr>
    </w:p>
    <w:p>
      <w:pPr>
        <w:jc w:val="both"/>
        <w:ind w:right="100" w:firstLine="765"/>
        <w:spacing w:after="0" w:line="261" w:lineRule="auto"/>
        <w:tabs>
          <w:tab w:leader="none" w:pos="1198" w:val="left"/>
        </w:tabs>
        <w:numPr>
          <w:ilvl w:val="0"/>
          <w:numId w:val="61"/>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12121"/>
        </w:rPr>
        <w:t xml:space="preserve">Lapse of Former Agreement. </w:t>
      </w:r>
      <w:r>
        <w:rPr>
          <w:rFonts w:ascii="Times New Roman" w:cs="Times New Roman" w:eastAsia="Times New Roman" w:hAnsi="Times New Roman"/>
          <w:sz w:val="21"/>
          <w:szCs w:val="21"/>
          <w:color w:val="212121"/>
        </w:rPr>
        <w:t>The Company and Executive agree that this Agreement shall with effect from</w:t>
      </w:r>
      <w:r>
        <w:rPr>
          <w:rFonts w:ascii="Times New Roman" w:cs="Times New Roman" w:eastAsia="Times New Roman" w:hAnsi="Times New Roman"/>
          <w:sz w:val="21"/>
          <w:szCs w:val="21"/>
          <w:b w:val="1"/>
          <w:bCs w:val="1"/>
          <w:color w:val="212121"/>
        </w:rPr>
        <w:t xml:space="preserve"> </w:t>
      </w:r>
      <w:r>
        <w:rPr>
          <w:rFonts w:ascii="Times New Roman" w:cs="Times New Roman" w:eastAsia="Times New Roman" w:hAnsi="Times New Roman"/>
          <w:sz w:val="21"/>
          <w:szCs w:val="21"/>
          <w:color w:val="212121"/>
        </w:rPr>
        <w:t>the Effective Date replace the Former Agreement in its entirety, and the Former Agreement shall thereupon lapse and become null and void.</w:t>
      </w:r>
    </w:p>
    <w:p>
      <w:pPr>
        <w:spacing w:after="0" w:line="163" w:lineRule="exact"/>
        <w:rPr>
          <w:rFonts w:ascii="Times New Roman" w:cs="Times New Roman" w:eastAsia="Times New Roman" w:hAnsi="Times New Roman"/>
          <w:sz w:val="21"/>
          <w:szCs w:val="21"/>
          <w:b w:val="1"/>
          <w:bCs w:val="1"/>
          <w:color w:val="232323"/>
        </w:rPr>
      </w:pPr>
    </w:p>
    <w:p>
      <w:pPr>
        <w:ind w:left="1620" w:hanging="749"/>
        <w:spacing w:after="0"/>
        <w:tabs>
          <w:tab w:leader="none" w:pos="1620" w:val="left"/>
        </w:tabs>
        <w:numPr>
          <w:ilvl w:val="1"/>
          <w:numId w:val="61"/>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12121"/>
        </w:rPr>
        <w:t>Change in Control and Severance Benefits.</w:t>
      </w:r>
    </w:p>
    <w:p>
      <w:pPr>
        <w:spacing w:after="0" w:line="31" w:lineRule="exact"/>
        <w:rPr>
          <w:sz w:val="20"/>
          <w:szCs w:val="20"/>
          <w:color w:val="auto"/>
        </w:rPr>
      </w:pPr>
    </w:p>
    <w:p>
      <w:pPr>
        <w:jc w:val="both"/>
        <w:ind w:left="140" w:right="20" w:firstLine="1498"/>
        <w:spacing w:after="0" w:line="242" w:lineRule="auto"/>
        <w:rPr>
          <w:sz w:val="20"/>
          <w:szCs w:val="20"/>
          <w:color w:val="auto"/>
        </w:rPr>
      </w:pPr>
      <w:r>
        <w:rPr>
          <w:rFonts w:ascii="Times New Roman" w:cs="Times New Roman" w:eastAsia="Times New Roman" w:hAnsi="Times New Roman"/>
          <w:sz w:val="21"/>
          <w:szCs w:val="21"/>
          <w:b w:val="1"/>
          <w:bCs w:val="1"/>
          <w:color w:val="232323"/>
        </w:rPr>
        <w:t>(a)</w:t>
      </w:r>
      <w:r>
        <w:rPr>
          <w:rFonts w:ascii="Times New Roman" w:cs="Times New Roman" w:eastAsia="Times New Roman" w:hAnsi="Times New Roman"/>
          <w:sz w:val="21"/>
          <w:szCs w:val="21"/>
          <w:b w:val="1"/>
          <w:bCs w:val="1"/>
          <w:color w:val="212121"/>
        </w:rPr>
        <w:t>Severance Payment.</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12121"/>
        </w:rPr>
        <w:t>If Executive's employment with the Company Group is terminated as a result of</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12121"/>
        </w:rPr>
        <w:t xml:space="preserve">a Qualifying Termination, the Company shall procure that the notice </w:t>
      </w:r>
      <w:r>
        <w:rPr>
          <w:rFonts w:ascii="Times New Roman" w:cs="Times New Roman" w:eastAsia="Times New Roman" w:hAnsi="Times New Roman"/>
          <w:sz w:val="21"/>
          <w:szCs w:val="21"/>
          <w:color w:val="000000"/>
        </w:rPr>
        <w:t>period</w:t>
      </w:r>
      <w:r>
        <w:rPr>
          <w:rFonts w:ascii="Times New Roman" w:cs="Times New Roman" w:eastAsia="Times New Roman" w:hAnsi="Times New Roman"/>
          <w:sz w:val="21"/>
          <w:szCs w:val="21"/>
          <w:color w:val="212121"/>
        </w:rPr>
        <w:t xml:space="preserve"> pursuant to clauses 5.1.1 and 5.1.2 of the Employment Agreement is observed by the employing entity and that the Executive is released from his duties (in </w:t>
      </w:r>
      <w:r>
        <w:rPr>
          <w:rFonts w:ascii="Times New Roman" w:cs="Times New Roman" w:eastAsia="Times New Roman" w:hAnsi="Times New Roman"/>
          <w:sz w:val="21"/>
          <w:szCs w:val="21"/>
          <w:color w:val="000000"/>
        </w:rPr>
        <w:t>Danish</w:t>
      </w:r>
      <w:r>
        <w:rPr>
          <w:rFonts w:ascii="Times New Roman" w:cs="Times New Roman" w:eastAsia="Times New Roman" w:hAnsi="Times New Roman"/>
          <w:sz w:val="21"/>
          <w:szCs w:val="21"/>
          <w:color w:val="212121"/>
        </w:rPr>
        <w:t>: "fritstillet")</w:t>
      </w:r>
      <w:r>
        <w:rPr>
          <w:rFonts w:ascii="Times New Roman" w:cs="Times New Roman" w:eastAsia="Times New Roman" w:hAnsi="Times New Roman"/>
          <w:sz w:val="21"/>
          <w:szCs w:val="21"/>
          <w:color w:val="000000"/>
        </w:rPr>
        <w:t xml:space="preserve"> during such notice period, </w:t>
      </w:r>
      <w:r>
        <w:rPr>
          <w:rFonts w:ascii="Times New Roman" w:cs="Times New Roman" w:eastAsia="Times New Roman" w:hAnsi="Times New Roman"/>
          <w:sz w:val="21"/>
          <w:szCs w:val="21"/>
          <w:color w:val="212121"/>
        </w:rPr>
        <w:t>with no right of the employing entity to set off</w:t>
      </w:r>
      <w:r>
        <w:rPr>
          <w:rFonts w:ascii="Times New Roman" w:cs="Times New Roman" w:eastAsia="Times New Roman" w:hAnsi="Times New Roman"/>
          <w:sz w:val="21"/>
          <w:szCs w:val="21"/>
          <w:color w:val="000000"/>
        </w:rPr>
        <w:t xml:space="preserve"> any </w:t>
      </w:r>
      <w:r>
        <w:rPr>
          <w:rFonts w:ascii="Times New Roman" w:cs="Times New Roman" w:eastAsia="Times New Roman" w:hAnsi="Times New Roman"/>
          <w:sz w:val="21"/>
          <w:szCs w:val="21"/>
          <w:color w:val="212121"/>
        </w:rPr>
        <w:t>income</w:t>
      </w:r>
      <w:r>
        <w:rPr>
          <w:rFonts w:ascii="Times New Roman" w:cs="Times New Roman" w:eastAsia="Times New Roman" w:hAnsi="Times New Roman"/>
          <w:sz w:val="21"/>
          <w:szCs w:val="21"/>
          <w:color w:val="000000"/>
        </w:rPr>
        <w:t xml:space="preserve"> earned by </w:t>
      </w:r>
      <w:r>
        <w:rPr>
          <w:rFonts w:ascii="Times New Roman" w:cs="Times New Roman" w:eastAsia="Times New Roman" w:hAnsi="Times New Roman"/>
          <w:sz w:val="21"/>
          <w:szCs w:val="21"/>
          <w:color w:val="212121"/>
        </w:rPr>
        <w:t>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12121"/>
        </w:rPr>
        <w:t xml:space="preserve">Executive </w:t>
      </w:r>
      <w:r>
        <w:rPr>
          <w:rFonts w:ascii="Times New Roman" w:cs="Times New Roman" w:eastAsia="Times New Roman" w:hAnsi="Times New Roman"/>
          <w:sz w:val="21"/>
          <w:szCs w:val="21"/>
          <w:color w:val="000000"/>
        </w:rPr>
        <w:t>from</w:t>
      </w:r>
      <w:r>
        <w:rPr>
          <w:rFonts w:ascii="Times New Roman" w:cs="Times New Roman" w:eastAsia="Times New Roman" w:hAnsi="Times New Roman"/>
          <w:sz w:val="21"/>
          <w:szCs w:val="21"/>
          <w:color w:val="212121"/>
        </w:rPr>
        <w:t xml:space="preserve"> new non-competing employment </w:t>
      </w:r>
      <w:r>
        <w:rPr>
          <w:rFonts w:ascii="Times New Roman" w:cs="Times New Roman" w:eastAsia="Times New Roman" w:hAnsi="Times New Roman"/>
          <w:sz w:val="21"/>
          <w:szCs w:val="21"/>
          <w:color w:val="000000"/>
        </w:rPr>
        <w:t>against the Executive's remuneration</w:t>
      </w:r>
      <w:r>
        <w:rPr>
          <w:rFonts w:ascii="Times New Roman" w:cs="Times New Roman" w:eastAsia="Times New Roman" w:hAnsi="Times New Roman"/>
          <w:sz w:val="21"/>
          <w:szCs w:val="21"/>
          <w:color w:val="212121"/>
        </w:rPr>
        <w:t xml:space="preserve"> during the release period. </w:t>
      </w:r>
      <w:r>
        <w:rPr>
          <w:rFonts w:ascii="Times New Roman" w:cs="Times New Roman" w:eastAsia="Times New Roman" w:hAnsi="Times New Roman"/>
          <w:sz w:val="21"/>
          <w:szCs w:val="21"/>
          <w:color w:val="000000"/>
        </w:rPr>
        <w:t>In</w:t>
      </w:r>
      <w:r>
        <w:rPr>
          <w:rFonts w:ascii="Times New Roman" w:cs="Times New Roman" w:eastAsia="Times New Roman" w:hAnsi="Times New Roman"/>
          <w:sz w:val="21"/>
          <w:szCs w:val="21"/>
          <w:color w:val="212121"/>
        </w:rPr>
        <w:t xml:space="preserve"> </w:t>
      </w:r>
      <w:r>
        <w:rPr>
          <w:rFonts w:ascii="Times New Roman" w:cs="Times New Roman" w:eastAsia="Times New Roman" w:hAnsi="Times New Roman"/>
          <w:sz w:val="21"/>
          <w:szCs w:val="21"/>
          <w:color w:val="000000"/>
        </w:rPr>
        <w:t>addition</w:t>
      </w:r>
      <w:r>
        <w:rPr>
          <w:rFonts w:ascii="Times New Roman" w:cs="Times New Roman" w:eastAsia="Times New Roman" w:hAnsi="Times New Roman"/>
          <w:sz w:val="21"/>
          <w:szCs w:val="21"/>
          <w:color w:val="212121"/>
        </w:rPr>
        <w:t>, the Company shall pay Executive - or procure that the Executive is paid - an amount equal to the sum of (i)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12121"/>
        </w:rPr>
        <w:t>Severance Pay</w:t>
      </w:r>
      <w:r>
        <w:rPr>
          <w:rFonts w:ascii="Times New Roman" w:cs="Times New Roman" w:eastAsia="Times New Roman" w:hAnsi="Times New Roman"/>
          <w:sz w:val="21"/>
          <w:szCs w:val="21"/>
          <w:color w:val="000000"/>
        </w:rPr>
        <w:t>, being six</w:t>
      </w:r>
      <w:r>
        <w:rPr>
          <w:rFonts w:ascii="Times New Roman" w:cs="Times New Roman" w:eastAsia="Times New Roman" w:hAnsi="Times New Roman"/>
          <w:sz w:val="21"/>
          <w:szCs w:val="21"/>
          <w:color w:val="212121"/>
        </w:rPr>
        <w:t xml:space="preserve"> (6) months of Executive's Base Salary pursuant to </w:t>
      </w:r>
      <w:r>
        <w:rPr>
          <w:rFonts w:ascii="Times New Roman" w:cs="Times New Roman" w:eastAsia="Times New Roman" w:hAnsi="Times New Roman"/>
          <w:sz w:val="21"/>
          <w:szCs w:val="21"/>
          <w:color w:val="000000"/>
        </w:rPr>
        <w:t>clause</w:t>
      </w:r>
      <w:r>
        <w:rPr>
          <w:rFonts w:ascii="Times New Roman" w:cs="Times New Roman" w:eastAsia="Times New Roman" w:hAnsi="Times New Roman"/>
          <w:sz w:val="21"/>
          <w:szCs w:val="21"/>
          <w:color w:val="212121"/>
        </w:rPr>
        <w:t xml:space="preserve"> 5.1.3 of the Employment Agreement (the </w:t>
      </w:r>
      <w:r>
        <w:rPr>
          <w:rFonts w:ascii="Times New Roman" w:cs="Times New Roman" w:eastAsia="Times New Roman" w:hAnsi="Times New Roman"/>
          <w:sz w:val="20"/>
          <w:szCs w:val="20"/>
          <w:b w:val="1"/>
          <w:bCs w:val="1"/>
          <w:i w:val="1"/>
          <w:iCs w:val="1"/>
          <w:color w:val="212121"/>
        </w:rPr>
        <w:t>" Severance Pay"),</w:t>
      </w:r>
      <w:r>
        <w:rPr>
          <w:rFonts w:ascii="Times New Roman" w:cs="Times New Roman" w:eastAsia="Times New Roman" w:hAnsi="Times New Roman"/>
          <w:sz w:val="21"/>
          <w:szCs w:val="21"/>
          <w:color w:val="212121"/>
        </w:rPr>
        <w:t xml:space="preserve"> (ii) an additional six (6) months of Executive's Base Salary, </w:t>
      </w:r>
      <w:r>
        <w:rPr>
          <w:rFonts w:ascii="Times New Roman" w:cs="Times New Roman" w:eastAsia="Times New Roman" w:hAnsi="Times New Roman"/>
          <w:sz w:val="21"/>
          <w:szCs w:val="21"/>
          <w:color w:val="000000"/>
        </w:rPr>
        <w:t>and</w:t>
      </w:r>
      <w:r>
        <w:rPr>
          <w:rFonts w:ascii="Times New Roman" w:cs="Times New Roman" w:eastAsia="Times New Roman" w:hAnsi="Times New Roman"/>
          <w:sz w:val="21"/>
          <w:szCs w:val="21"/>
          <w:color w:val="212121"/>
        </w:rPr>
        <w:t xml:space="preserve"> (iii) an amount equal to the product of (x) 1/12 of Executive's Target Bonus and (y) the number of months in the Severance Period ((ii) and (iii) collectively, the </w:t>
      </w:r>
      <w:r>
        <w:rPr>
          <w:rFonts w:ascii="Times New Roman" w:cs="Times New Roman" w:eastAsia="Times New Roman" w:hAnsi="Times New Roman"/>
          <w:sz w:val="20"/>
          <w:szCs w:val="20"/>
          <w:b w:val="1"/>
          <w:bCs w:val="1"/>
          <w:i w:val="1"/>
          <w:iCs w:val="1"/>
          <w:color w:val="212121"/>
        </w:rPr>
        <w:t>"Additional Payment").</w:t>
      </w:r>
      <w:r>
        <w:rPr>
          <w:rFonts w:ascii="Times New Roman" w:cs="Times New Roman" w:eastAsia="Times New Roman" w:hAnsi="Times New Roman"/>
          <w:sz w:val="21"/>
          <w:szCs w:val="21"/>
          <w:color w:val="212121"/>
        </w:rPr>
        <w:t xml:space="preserve"> Notwithstanding anything to the contrary in the Employment Agreement, the Company shall pay the Additional Payment together with the Severance Pay (collectively, the </w:t>
      </w:r>
      <w:r>
        <w:rPr>
          <w:rFonts w:ascii="Times New Roman" w:cs="Times New Roman" w:eastAsia="Times New Roman" w:hAnsi="Times New Roman"/>
          <w:sz w:val="20"/>
          <w:szCs w:val="20"/>
          <w:b w:val="1"/>
          <w:bCs w:val="1"/>
          <w:i w:val="1"/>
          <w:iCs w:val="1"/>
          <w:color w:val="212121"/>
        </w:rPr>
        <w:t>"Severance Payment")</w:t>
      </w:r>
      <w:r>
        <w:rPr>
          <w:rFonts w:ascii="Times New Roman" w:cs="Times New Roman" w:eastAsia="Times New Roman" w:hAnsi="Times New Roman"/>
          <w:sz w:val="21"/>
          <w:szCs w:val="21"/>
          <w:color w:val="212121"/>
        </w:rPr>
        <w:t xml:space="preserve"> in cash in a single lump sum payment within ten (10) days following the Date of Termination. In addition, the Company shall pay Executive - or procure that the Executive is paid - (A) any salary earned but unpaid prior to the Date of Termination and all accrued but unused paid time off or vacation, (B) any business or reimbursable relocation expenses incurred but not reimbursed as of the Date of Termination in accordance with the applicable business expense reimbursement policy of the Company Group </w:t>
      </w:r>
      <w:r>
        <w:rPr>
          <w:rFonts w:ascii="Times New Roman" w:cs="Times New Roman" w:eastAsia="Times New Roman" w:hAnsi="Times New Roman"/>
          <w:sz w:val="21"/>
          <w:szCs w:val="21"/>
          <w:color w:val="000000"/>
        </w:rPr>
        <w:t>in effect</w:t>
      </w:r>
      <w:r>
        <w:rPr>
          <w:rFonts w:ascii="Times New Roman" w:cs="Times New Roman" w:eastAsia="Times New Roman" w:hAnsi="Times New Roman"/>
          <w:sz w:val="21"/>
          <w:szCs w:val="21"/>
          <w:color w:val="212121"/>
        </w:rPr>
        <w:t xml:space="preserve"> on the Date of Termination, and (C) any award under the Annual Bonus Plan for which Executive has completed the prior calendar year and that has been approved by the Compensation Committee of the Board (the "Committee"), but for which the annual bonus has not been paid as of the Date of Termination.</w:t>
      </w:r>
    </w:p>
    <w:p>
      <w:pPr>
        <w:spacing w:after="0" w:line="200" w:lineRule="exact"/>
        <w:rPr>
          <w:sz w:val="20"/>
          <w:szCs w:val="20"/>
          <w:color w:val="auto"/>
        </w:rPr>
      </w:pPr>
    </w:p>
    <w:p>
      <w:pPr>
        <w:spacing w:after="0" w:line="228" w:lineRule="exact"/>
        <w:rPr>
          <w:sz w:val="20"/>
          <w:szCs w:val="20"/>
          <w:color w:val="auto"/>
        </w:rPr>
      </w:pPr>
    </w:p>
    <w:p>
      <w:pPr>
        <w:jc w:val="both"/>
        <w:ind w:left="140" w:firstLine="1498"/>
        <w:spacing w:after="0" w:line="245" w:lineRule="auto"/>
        <w:rPr>
          <w:sz w:val="20"/>
          <w:szCs w:val="20"/>
          <w:color w:val="auto"/>
        </w:rPr>
      </w:pPr>
      <w:r>
        <w:rPr>
          <w:rFonts w:ascii="Times New Roman" w:cs="Times New Roman" w:eastAsia="Times New Roman" w:hAnsi="Times New Roman"/>
          <w:sz w:val="21"/>
          <w:szCs w:val="21"/>
          <w:b w:val="1"/>
          <w:bCs w:val="1"/>
          <w:color w:val="232323"/>
        </w:rPr>
        <w:t>(b)</w:t>
      </w:r>
      <w:r>
        <w:rPr>
          <w:rFonts w:ascii="Times New Roman" w:cs="Times New Roman" w:eastAsia="Times New Roman" w:hAnsi="Times New Roman"/>
          <w:sz w:val="21"/>
          <w:szCs w:val="21"/>
          <w:b w:val="1"/>
          <w:bCs w:val="1"/>
          <w:color w:val="212121"/>
        </w:rPr>
        <w:t>Equity Award Acceleration.</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12121"/>
        </w:rPr>
        <w:t>If Executive's employment is terminated as a result of a Qualifying</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12121"/>
        </w:rPr>
        <w:t>Termination, then (i) the vesting of each Award that vests based on continued service, and the exercisability of each such Award that is a stock option, shall be automatically accelerated in full as of the Date of Termination, and (ii) each Award that vests based on performance shall be deemed to be earned and become vested and/or paid out in an amount equal to the product of (x) such Executive's target award opportunity with respect to such Award for the Performance Cycle in question and (y) the greater of the percentage of Performance Goals (which Performance Goals shall be pro-rated, if necessary or appropriate, to reflect the portion of the Performance Cycle that has been completed) achieved as of the date of the Change in Control and as of the last day of the fiscal quarter ended on or immediately prior to the Date of Termination. The portion of any Award that vests based on performance that does not vest in accordance with the preceding sentence shall immediately be forfeited and canceled without any payment therefor. An Award shall continue to be exercisable in accordance with the Executive's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871855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640" w:top="1408" w:right="619" w:bottom="1440" w:gutter="0" w:footer="0" w:header="0"/>
        </w:sectPr>
      </w:pPr>
    </w:p>
    <w:bookmarkStart w:id="72" w:name="page73"/>
    <w:bookmarkEnd w:id="72"/>
    <w:p>
      <w:pPr>
        <w:spacing w:after="0" w:line="185" w:lineRule="exact"/>
        <w:rPr>
          <w:sz w:val="20"/>
          <w:szCs w:val="20"/>
          <w:color w:val="auto"/>
        </w:rPr>
      </w:pPr>
    </w:p>
    <w:p>
      <w:pPr>
        <w:jc w:val="both"/>
        <w:ind w:left="100"/>
        <w:spacing w:after="0" w:line="238" w:lineRule="auto"/>
        <w:rPr>
          <w:sz w:val="20"/>
          <w:szCs w:val="20"/>
          <w:color w:val="auto"/>
        </w:rPr>
      </w:pPr>
      <w:r>
        <w:rPr>
          <w:rFonts w:ascii="Times New Roman" w:cs="Times New Roman" w:eastAsia="Times New Roman" w:hAnsi="Times New Roman"/>
          <w:sz w:val="22"/>
          <w:szCs w:val="22"/>
          <w:color w:val="212121"/>
        </w:rPr>
        <w:t>Agreement, and with respect to Awards other than stock options and restricted stock awards, will be settled upon vesting to the extent such accelerated vesting is permitted by Section 409A of the Code or, if not so permitted, on the scheduled settlement date in accordance with Executive's Award Agreement, including in each case, without limitation of any provisions that provide that in connection with a Change in Control, an Award may be surrendered and cancelled in exchange for a cash payment.</w:t>
      </w:r>
    </w:p>
    <w:p>
      <w:pPr>
        <w:spacing w:after="0" w:line="190" w:lineRule="exact"/>
        <w:rPr>
          <w:sz w:val="20"/>
          <w:szCs w:val="20"/>
          <w:color w:val="auto"/>
        </w:rPr>
      </w:pPr>
    </w:p>
    <w:p>
      <w:pPr>
        <w:jc w:val="both"/>
        <w:ind w:left="120" w:firstLine="1483"/>
        <w:spacing w:after="0" w:line="255" w:lineRule="auto"/>
        <w:rPr>
          <w:sz w:val="20"/>
          <w:szCs w:val="20"/>
          <w:color w:val="auto"/>
        </w:rPr>
      </w:pPr>
      <w:r>
        <w:rPr>
          <w:rFonts w:ascii="Times New Roman" w:cs="Times New Roman" w:eastAsia="Times New Roman" w:hAnsi="Times New Roman"/>
          <w:sz w:val="21"/>
          <w:szCs w:val="21"/>
          <w:b w:val="1"/>
          <w:bCs w:val="1"/>
          <w:color w:val="232323"/>
        </w:rPr>
        <w:t>(c)</w:t>
      </w:r>
      <w:r>
        <w:rPr>
          <w:rFonts w:ascii="Times New Roman" w:cs="Times New Roman" w:eastAsia="Times New Roman" w:hAnsi="Times New Roman"/>
          <w:sz w:val="21"/>
          <w:szCs w:val="21"/>
          <w:b w:val="1"/>
          <w:bCs w:val="1"/>
          <w:color w:val="212121"/>
        </w:rPr>
        <w:t>Other Termination.</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If the Executive's employment terminates other than as a result of a Qualifying</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Termination, the Executive shall not be entitled to receive severance or other benefits hereunder, but may be eligible for such severance and benefits (if any) as may then be available under the Employment Agreement, any Additional Agreement (defined below), or the then-existing severance and benefit plans and policies of the Company Group.</w:t>
      </w:r>
    </w:p>
    <w:p>
      <w:pPr>
        <w:spacing w:after="0" w:line="171" w:lineRule="exact"/>
        <w:rPr>
          <w:sz w:val="20"/>
          <w:szCs w:val="20"/>
          <w:color w:val="auto"/>
        </w:rPr>
      </w:pPr>
    </w:p>
    <w:p>
      <w:pPr>
        <w:jc w:val="both"/>
        <w:ind w:left="20" w:right="60" w:firstLine="1527"/>
        <w:spacing w:after="0" w:line="238" w:lineRule="auto"/>
        <w:rPr>
          <w:sz w:val="20"/>
          <w:szCs w:val="20"/>
          <w:color w:val="auto"/>
        </w:rPr>
      </w:pPr>
      <w:r>
        <w:rPr>
          <w:rFonts w:ascii="Times New Roman" w:cs="Times New Roman" w:eastAsia="Times New Roman" w:hAnsi="Times New Roman"/>
          <w:sz w:val="22"/>
          <w:szCs w:val="22"/>
          <w:b w:val="1"/>
          <w:bCs w:val="1"/>
          <w:color w:val="232323"/>
        </w:rPr>
        <w:t xml:space="preserve">(d)No Mitigation Requirement. </w:t>
      </w:r>
      <w:r>
        <w:rPr>
          <w:rFonts w:ascii="Times New Roman" w:cs="Times New Roman" w:eastAsia="Times New Roman" w:hAnsi="Times New Roman"/>
          <w:sz w:val="22"/>
          <w:szCs w:val="22"/>
          <w:color w:val="232323"/>
        </w:rPr>
        <w:t>The Executive shall not be required to mitigate the amount provided</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for in this section by seeking other employment or otherwise, nor shall the amount of any payment or benefit provided for in this section be reduced by the amount of any compensation earned by the Executive as the result of employment by another employer, or by any set-off, counterclaim, recoupment, or other claim, right or action the Company Group may have against the Executive.</w:t>
      </w:r>
    </w:p>
    <w:p>
      <w:pPr>
        <w:spacing w:after="0" w:line="177" w:lineRule="exact"/>
        <w:rPr>
          <w:sz w:val="20"/>
          <w:szCs w:val="20"/>
          <w:color w:val="auto"/>
        </w:rPr>
      </w:pPr>
    </w:p>
    <w:p>
      <w:pPr>
        <w:jc w:val="both"/>
        <w:ind w:right="40" w:firstLine="772"/>
        <w:spacing w:after="0" w:line="233" w:lineRule="auto"/>
        <w:tabs>
          <w:tab w:leader="none" w:pos="1156" w:val="left"/>
        </w:tabs>
        <w:numPr>
          <w:ilvl w:val="1"/>
          <w:numId w:val="62"/>
        </w:numPr>
        <w:rPr>
          <w:rFonts w:ascii="Times New Roman" w:cs="Times New Roman" w:eastAsia="Times New Roman" w:hAnsi="Times New Roman"/>
          <w:sz w:val="22"/>
          <w:szCs w:val="22"/>
          <w:b w:val="1"/>
          <w:bCs w:val="1"/>
          <w:color w:val="232323"/>
        </w:rPr>
      </w:pPr>
      <w:r>
        <w:rPr>
          <w:rFonts w:ascii="Times New Roman" w:cs="Times New Roman" w:eastAsia="Times New Roman" w:hAnsi="Times New Roman"/>
          <w:sz w:val="22"/>
          <w:szCs w:val="22"/>
          <w:b w:val="1"/>
          <w:bCs w:val="1"/>
          <w:color w:val="232323"/>
        </w:rPr>
        <w:t xml:space="preserve">Notices. </w:t>
      </w:r>
      <w:r>
        <w:rPr>
          <w:rFonts w:ascii="Times New Roman" w:cs="Times New Roman" w:eastAsia="Times New Roman" w:hAnsi="Times New Roman"/>
          <w:sz w:val="22"/>
          <w:szCs w:val="22"/>
          <w:color w:val="232323"/>
        </w:rPr>
        <w:t>All notices, reports, records or other communications which are required or permitted to be given</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 xml:space="preserve">to the parties under this Agreement shall be sufficient in all respects if given in writing and delivered in person, by telecopy, by overnight courier, or by registered or certified mail, postage prepaid, return receipt requested, to the Company at its corporate headquarters to the attention of the Corporate Secretary and to the Executive at the home address most recently provided by Executive to the Company, or, in the case of either party, to such other address as such party may have given to the other by notice pursuant to this </w:t>
      </w:r>
      <w:r>
        <w:rPr>
          <w:rFonts w:ascii="Times New Roman" w:cs="Times New Roman" w:eastAsia="Times New Roman" w:hAnsi="Times New Roman"/>
          <w:sz w:val="22"/>
          <w:szCs w:val="22"/>
          <w:u w:val="single" w:color="auto"/>
          <w:color w:val="232323"/>
        </w:rPr>
        <w:t>Section 3.</w:t>
      </w:r>
      <w:r>
        <w:rPr>
          <w:rFonts w:ascii="Times New Roman" w:cs="Times New Roman" w:eastAsia="Times New Roman" w:hAnsi="Times New Roman"/>
          <w:sz w:val="22"/>
          <w:szCs w:val="22"/>
          <w:color w:val="232323"/>
        </w:rPr>
        <w:t xml:space="preserve"> Notice shall be deemed given on the date of delivery, in the case of personal delivery or email, or on the delivery or refusal date, as specified on the return receipt, in the case of overnight courier or registered or certified mail. Any termination by the Company Group for Cause or by Executive for Good Reason shall be communicated by a notice of termination </w:t>
      </w:r>
      <w:r>
        <w:rPr>
          <w:rFonts w:ascii="Times New Roman" w:cs="Times New Roman" w:eastAsia="Times New Roman" w:hAnsi="Times New Roman"/>
          <w:sz w:val="20"/>
          <w:szCs w:val="20"/>
          <w:b w:val="1"/>
          <w:bCs w:val="1"/>
          <w:i w:val="1"/>
          <w:iCs w:val="1"/>
          <w:color w:val="232323"/>
        </w:rPr>
        <w:t>("Notice of Termination")</w:t>
      </w:r>
      <w:r>
        <w:rPr>
          <w:rFonts w:ascii="Times New Roman" w:cs="Times New Roman" w:eastAsia="Times New Roman" w:hAnsi="Times New Roman"/>
          <w:sz w:val="22"/>
          <w:szCs w:val="22"/>
          <w:color w:val="232323"/>
        </w:rPr>
        <w:t xml:space="preserve"> to the other party given in accordance with this Agreement or the Employment Agreement. Such notice shall indicate the specific termination provision in this Agreement or the Employment Agreement relied upon and shall set forth in reasonable detail the facts and circumstances claimed to provide a basis for termination under the provision so indicated. The failure by the Company Group or Executive to include in the notice any fact or circumstance arising prior to the date of such notice which contributes to a showing of Cause or Good Reason, respectively, shall not waive any right of the Company Group or the Executive, as the case may be, hereunder, or preclude the Company or the Executive, as the case may be, from asserting such fact or circumstance in enforcing its or his rights hereunder.</w:t>
      </w:r>
    </w:p>
    <w:p>
      <w:pPr>
        <w:spacing w:after="0" w:line="174" w:lineRule="exact"/>
        <w:rPr>
          <w:rFonts w:ascii="Times New Roman" w:cs="Times New Roman" w:eastAsia="Times New Roman" w:hAnsi="Times New Roman"/>
          <w:sz w:val="22"/>
          <w:szCs w:val="22"/>
          <w:b w:val="1"/>
          <w:bCs w:val="1"/>
          <w:color w:val="232323"/>
        </w:rPr>
      </w:pPr>
    </w:p>
    <w:p>
      <w:pPr>
        <w:ind w:left="1520" w:hanging="764"/>
        <w:spacing w:after="0"/>
        <w:tabs>
          <w:tab w:leader="none" w:pos="1520" w:val="left"/>
        </w:tabs>
        <w:numPr>
          <w:ilvl w:val="0"/>
          <w:numId w:val="63"/>
        </w:numPr>
        <w:rPr>
          <w:rFonts w:ascii="Times New Roman" w:cs="Times New Roman" w:eastAsia="Times New Roman" w:hAnsi="Times New Roman"/>
          <w:sz w:val="22"/>
          <w:szCs w:val="22"/>
          <w:b w:val="1"/>
          <w:bCs w:val="1"/>
          <w:color w:val="232323"/>
        </w:rPr>
      </w:pPr>
      <w:r>
        <w:rPr>
          <w:rFonts w:ascii="Times New Roman" w:cs="Times New Roman" w:eastAsia="Times New Roman" w:hAnsi="Times New Roman"/>
          <w:sz w:val="22"/>
          <w:szCs w:val="22"/>
          <w:b w:val="1"/>
          <w:bCs w:val="1"/>
          <w:color w:val="232323"/>
        </w:rPr>
        <w:t>Limitation of Benefits.</w:t>
      </w:r>
    </w:p>
    <w:p>
      <w:pPr>
        <w:spacing w:after="0" w:line="220" w:lineRule="exact"/>
        <w:rPr>
          <w:sz w:val="20"/>
          <w:szCs w:val="20"/>
          <w:color w:val="auto"/>
        </w:rPr>
      </w:pPr>
    </w:p>
    <w:p>
      <w:pPr>
        <w:ind w:right="60" w:firstLine="1479"/>
        <w:spacing w:after="0" w:line="262" w:lineRule="auto"/>
        <w:rPr>
          <w:sz w:val="20"/>
          <w:szCs w:val="20"/>
          <w:color w:val="auto"/>
        </w:rPr>
      </w:pPr>
      <w:r>
        <w:rPr>
          <w:rFonts w:ascii="Times New Roman" w:cs="Times New Roman" w:eastAsia="Times New Roman" w:hAnsi="Times New Roman"/>
          <w:sz w:val="22"/>
          <w:szCs w:val="22"/>
          <w:b w:val="1"/>
          <w:bCs w:val="1"/>
          <w:color w:val="232323"/>
        </w:rPr>
        <w:t>(a)</w:t>
      </w:r>
      <w:r>
        <w:rPr>
          <w:rFonts w:ascii="Times New Roman" w:cs="Times New Roman" w:eastAsia="Times New Roman" w:hAnsi="Times New Roman"/>
          <w:sz w:val="22"/>
          <w:szCs w:val="22"/>
          <w:color w:val="232323"/>
        </w:rPr>
        <w:t>If upon a Change in Control any of the payments and benefits provided for under this Agreement or</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any other agreement or arrangement between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856615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80" w:top="1440" w:right="619" w:bottom="1440" w:gutter="0" w:footer="0" w:header="0"/>
        </w:sectPr>
      </w:pPr>
    </w:p>
    <w:bookmarkStart w:id="73" w:name="page74"/>
    <w:bookmarkEnd w:id="73"/>
    <w:p>
      <w:pPr>
        <w:spacing w:after="0" w:line="185" w:lineRule="exact"/>
        <w:rPr>
          <w:sz w:val="20"/>
          <w:szCs w:val="20"/>
          <w:color w:val="auto"/>
        </w:rPr>
      </w:pPr>
    </w:p>
    <w:p>
      <w:pPr>
        <w:jc w:val="both"/>
        <w:ind w:left="40" w:right="80"/>
        <w:spacing w:after="0" w:line="235" w:lineRule="auto"/>
        <w:rPr>
          <w:sz w:val="20"/>
          <w:szCs w:val="20"/>
          <w:color w:val="auto"/>
        </w:rPr>
      </w:pPr>
      <w:r>
        <w:rPr>
          <w:rFonts w:ascii="Times New Roman" w:cs="Times New Roman" w:eastAsia="Times New Roman" w:hAnsi="Times New Roman"/>
          <w:sz w:val="22"/>
          <w:szCs w:val="22"/>
          <w:color w:val="232323"/>
        </w:rPr>
        <w:t xml:space="preserve">its affiliates and Executive </w:t>
      </w:r>
      <w:r>
        <w:rPr>
          <w:rFonts w:ascii="Times New Roman" w:cs="Times New Roman" w:eastAsia="Times New Roman" w:hAnsi="Times New Roman"/>
          <w:sz w:val="20"/>
          <w:szCs w:val="20"/>
          <w:b w:val="1"/>
          <w:bCs w:val="1"/>
          <w:i w:val="1"/>
          <w:iCs w:val="1"/>
          <w:color w:val="232323"/>
        </w:rPr>
        <w:t>("Payments")</w:t>
      </w:r>
      <w:r>
        <w:rPr>
          <w:rFonts w:ascii="Times New Roman" w:cs="Times New Roman" w:eastAsia="Times New Roman" w:hAnsi="Times New Roman"/>
          <w:sz w:val="22"/>
          <w:szCs w:val="22"/>
          <w:color w:val="232323"/>
        </w:rPr>
        <w:t xml:space="preserve"> would constitute a "parachute payment" within the meaning of section 280G of the Code </w:t>
      </w:r>
      <w:r>
        <w:rPr>
          <w:rFonts w:ascii="Times New Roman" w:cs="Times New Roman" w:eastAsia="Times New Roman" w:hAnsi="Times New Roman"/>
          <w:sz w:val="20"/>
          <w:szCs w:val="20"/>
          <w:b w:val="1"/>
          <w:bCs w:val="1"/>
          <w:i w:val="1"/>
          <w:iCs w:val="1"/>
          <w:color w:val="232323"/>
        </w:rPr>
        <w:t>("Parachute Payments"),</w:t>
      </w:r>
      <w:r>
        <w:rPr>
          <w:rFonts w:ascii="Times New Roman" w:cs="Times New Roman" w:eastAsia="Times New Roman" w:hAnsi="Times New Roman"/>
          <w:sz w:val="22"/>
          <w:szCs w:val="22"/>
          <w:color w:val="232323"/>
        </w:rPr>
        <w:t xml:space="preserve"> then, if and solely to the extent that reducing the benefits payable hereunder, would result in the Executive receiving a greater amount, on an after-tax basis, taking into account any excise tax imposed pursuant to section 4999 of the Code (the </w:t>
      </w:r>
      <w:r>
        <w:rPr>
          <w:rFonts w:ascii="Times New Roman" w:cs="Times New Roman" w:eastAsia="Times New Roman" w:hAnsi="Times New Roman"/>
          <w:sz w:val="20"/>
          <w:szCs w:val="20"/>
          <w:b w:val="1"/>
          <w:bCs w:val="1"/>
          <w:i w:val="1"/>
          <w:iCs w:val="1"/>
          <w:color w:val="232323"/>
        </w:rPr>
        <w:t>"Excise Tax")</w:t>
      </w:r>
      <w:r>
        <w:rPr>
          <w:rFonts w:ascii="Times New Roman" w:cs="Times New Roman" w:eastAsia="Times New Roman" w:hAnsi="Times New Roman"/>
          <w:sz w:val="22"/>
          <w:szCs w:val="22"/>
          <w:color w:val="232323"/>
        </w:rPr>
        <w:t xml:space="preserve"> and all applicable income, employment and other taxes payable on such amounts, the amounts payable hereunder shall be reduced or eliminated, as the case may be, so that the total amount of Parachute Payments received by the Executive would result in no portion of the payments being subject to the Excise Tax.</w:t>
      </w:r>
    </w:p>
    <w:p>
      <w:pPr>
        <w:spacing w:after="0" w:line="193" w:lineRule="exact"/>
        <w:rPr>
          <w:sz w:val="20"/>
          <w:szCs w:val="20"/>
          <w:color w:val="auto"/>
        </w:rPr>
      </w:pPr>
    </w:p>
    <w:p>
      <w:pPr>
        <w:jc w:val="both"/>
        <w:ind w:left="20" w:right="80" w:firstLine="1513"/>
        <w:spacing w:after="0" w:line="243" w:lineRule="auto"/>
        <w:rPr>
          <w:sz w:val="20"/>
          <w:szCs w:val="20"/>
          <w:color w:val="auto"/>
        </w:rPr>
      </w:pPr>
      <w:r>
        <w:rPr>
          <w:rFonts w:ascii="Times New Roman" w:cs="Times New Roman" w:eastAsia="Times New Roman" w:hAnsi="Times New Roman"/>
          <w:sz w:val="22"/>
          <w:szCs w:val="22"/>
          <w:b w:val="1"/>
          <w:bCs w:val="1"/>
          <w:color w:val="232323"/>
        </w:rPr>
        <w:t>(b)</w:t>
      </w:r>
      <w:r>
        <w:rPr>
          <w:rFonts w:ascii="Times New Roman" w:cs="Times New Roman" w:eastAsia="Times New Roman" w:hAnsi="Times New Roman"/>
          <w:sz w:val="22"/>
          <w:szCs w:val="22"/>
          <w:color w:val="232323"/>
        </w:rPr>
        <w:t>Any such reduction in the amount of compensation or benefits effected pursuant to this</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u w:val="single" w:color="auto"/>
          <w:color w:val="232323"/>
        </w:rPr>
        <w:t>Section 4</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shall first come from the Additional Payment and then, in order and in</w:t>
      </w:r>
    </w:p>
    <w:p>
      <w:pPr>
        <w:spacing w:after="0" w:line="2"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232323"/>
        </w:rPr>
        <w:t xml:space="preserve">each case, solely to the extent necessary, from the Severance Pay, and the benefit of the Award acceleration provided in Section </w:t>
      </w:r>
      <w:r>
        <w:rPr>
          <w:rFonts w:ascii="Times New Roman" w:cs="Times New Roman" w:eastAsia="Times New Roman" w:hAnsi="Times New Roman"/>
          <w:sz w:val="22"/>
          <w:szCs w:val="22"/>
          <w:color w:val="383838"/>
        </w:rPr>
        <w:t>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086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08660" cy="8890"/>
                    </a:xfrm>
                    <a:prstGeom prst="rect">
                      <a:avLst/>
                    </a:prstGeom>
                    <a:noFill/>
                  </pic:spPr>
                </pic:pic>
              </a:graphicData>
            </a:graphic>
          </wp:anchor>
        </w:drawing>
      </w:r>
    </w:p>
    <w:p>
      <w:pPr>
        <w:spacing w:after="0" w:line="158" w:lineRule="exact"/>
        <w:rPr>
          <w:sz w:val="20"/>
          <w:szCs w:val="20"/>
          <w:color w:val="auto"/>
        </w:rPr>
      </w:pPr>
    </w:p>
    <w:p>
      <w:pPr>
        <w:jc w:val="both"/>
        <w:ind w:left="120" w:right="60" w:firstLine="736"/>
        <w:spacing w:after="0" w:line="261" w:lineRule="auto"/>
        <w:tabs>
          <w:tab w:leader="none" w:pos="1201" w:val="left"/>
        </w:tabs>
        <w:numPr>
          <w:ilvl w:val="0"/>
          <w:numId w:val="64"/>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 xml:space="preserve">Restrictive Covenants. </w:t>
      </w:r>
      <w:r>
        <w:rPr>
          <w:rFonts w:ascii="Times New Roman" w:cs="Times New Roman" w:eastAsia="Times New Roman" w:hAnsi="Times New Roman"/>
          <w:sz w:val="21"/>
          <w:szCs w:val="21"/>
          <w:color w:val="232323"/>
        </w:rPr>
        <w:t>Notwithstanding anything to the contrary in this Agreement, Section 6 of the</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Executive's Employment Agreement shall remain in full force and effect in accordance with the terms thereof to the extent mandated by applicable law.</w:t>
      </w:r>
    </w:p>
    <w:p>
      <w:pPr>
        <w:spacing w:after="0" w:line="200" w:lineRule="exact"/>
        <w:rPr>
          <w:rFonts w:ascii="Times New Roman" w:cs="Times New Roman" w:eastAsia="Times New Roman" w:hAnsi="Times New Roman"/>
          <w:sz w:val="21"/>
          <w:szCs w:val="21"/>
          <w:b w:val="1"/>
          <w:bCs w:val="1"/>
          <w:color w:val="232323"/>
        </w:rPr>
      </w:pPr>
    </w:p>
    <w:p>
      <w:pPr>
        <w:spacing w:after="0" w:line="200" w:lineRule="exact"/>
        <w:rPr>
          <w:rFonts w:ascii="Times New Roman" w:cs="Times New Roman" w:eastAsia="Times New Roman" w:hAnsi="Times New Roman"/>
          <w:sz w:val="21"/>
          <w:szCs w:val="21"/>
          <w:b w:val="1"/>
          <w:bCs w:val="1"/>
          <w:color w:val="232323"/>
        </w:rPr>
      </w:pPr>
    </w:p>
    <w:p>
      <w:pPr>
        <w:jc w:val="both"/>
        <w:ind w:left="120" w:right="60" w:firstLine="751"/>
        <w:spacing w:after="0" w:line="255" w:lineRule="auto"/>
        <w:tabs>
          <w:tab w:leader="none" w:pos="1202" w:val="left"/>
        </w:tabs>
        <w:numPr>
          <w:ilvl w:val="1"/>
          <w:numId w:val="64"/>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 xml:space="preserve">Further Assurances. </w:t>
      </w:r>
      <w:r>
        <w:rPr>
          <w:rFonts w:ascii="Times New Roman" w:cs="Times New Roman" w:eastAsia="Times New Roman" w:hAnsi="Times New Roman"/>
          <w:sz w:val="21"/>
          <w:szCs w:val="21"/>
          <w:color w:val="232323"/>
        </w:rPr>
        <w:t>The parties shall cooperate fully with each other and execute such further instruments,</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documents and agreements, and shall give such further written assurances, as may be reasonably requested by one another to better evidence and reflect the transactions described herein and contemplated hereby and to carry into effect the intent and purposes of this Agreement.</w:t>
      </w:r>
    </w:p>
    <w:p>
      <w:pPr>
        <w:spacing w:after="0" w:line="161" w:lineRule="exact"/>
        <w:rPr>
          <w:rFonts w:ascii="Times New Roman" w:cs="Times New Roman" w:eastAsia="Times New Roman" w:hAnsi="Times New Roman"/>
          <w:sz w:val="21"/>
          <w:szCs w:val="21"/>
          <w:b w:val="1"/>
          <w:bCs w:val="1"/>
          <w:color w:val="232323"/>
        </w:rPr>
      </w:pPr>
    </w:p>
    <w:p>
      <w:pPr>
        <w:ind w:left="140" w:right="40" w:firstLine="731"/>
        <w:spacing w:after="0" w:line="282" w:lineRule="auto"/>
        <w:tabs>
          <w:tab w:leader="none" w:pos="1207" w:val="left"/>
        </w:tabs>
        <w:numPr>
          <w:ilvl w:val="1"/>
          <w:numId w:val="64"/>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 xml:space="preserve">Applicable Law. </w:t>
      </w:r>
      <w:r>
        <w:rPr>
          <w:rFonts w:ascii="Times New Roman" w:cs="Times New Roman" w:eastAsia="Times New Roman" w:hAnsi="Times New Roman"/>
          <w:sz w:val="21"/>
          <w:szCs w:val="21"/>
          <w:color w:val="232323"/>
        </w:rPr>
        <w:t>This Agreement shall be governed by and construed in accordance with internal laws, but</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not the conflicts of law rules, of the State of Colorado.</w:t>
      </w:r>
    </w:p>
    <w:p>
      <w:pPr>
        <w:spacing w:after="0" w:line="154" w:lineRule="exact"/>
        <w:rPr>
          <w:rFonts w:ascii="Times New Roman" w:cs="Times New Roman" w:eastAsia="Times New Roman" w:hAnsi="Times New Roman"/>
          <w:sz w:val="21"/>
          <w:szCs w:val="21"/>
          <w:b w:val="1"/>
          <w:bCs w:val="1"/>
          <w:color w:val="232323"/>
        </w:rPr>
      </w:pPr>
    </w:p>
    <w:p>
      <w:pPr>
        <w:ind w:left="1640" w:hanging="754"/>
        <w:spacing w:after="0"/>
        <w:tabs>
          <w:tab w:leader="none" w:pos="1640" w:val="left"/>
        </w:tabs>
        <w:numPr>
          <w:ilvl w:val="2"/>
          <w:numId w:val="64"/>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Arbitration.</w:t>
      </w:r>
    </w:p>
    <w:p>
      <w:pPr>
        <w:spacing w:after="0" w:line="207" w:lineRule="exact"/>
        <w:rPr>
          <w:sz w:val="20"/>
          <w:szCs w:val="20"/>
          <w:color w:val="auto"/>
        </w:rPr>
      </w:pPr>
    </w:p>
    <w:p>
      <w:pPr>
        <w:jc w:val="both"/>
        <w:ind w:left="140" w:right="40" w:firstLine="1498"/>
        <w:spacing w:after="0" w:line="241" w:lineRule="auto"/>
        <w:rPr>
          <w:sz w:val="20"/>
          <w:szCs w:val="20"/>
          <w:color w:val="auto"/>
        </w:rPr>
      </w:pPr>
      <w:r>
        <w:rPr>
          <w:rFonts w:ascii="Times New Roman" w:cs="Times New Roman" w:eastAsia="Times New Roman" w:hAnsi="Times New Roman"/>
          <w:sz w:val="22"/>
          <w:szCs w:val="22"/>
          <w:b w:val="1"/>
          <w:bCs w:val="1"/>
          <w:color w:val="232323"/>
        </w:rPr>
        <w:t>(a)</w:t>
      </w:r>
      <w:r>
        <w:rPr>
          <w:rFonts w:ascii="Times New Roman" w:cs="Times New Roman" w:eastAsia="Times New Roman" w:hAnsi="Times New Roman"/>
          <w:sz w:val="22"/>
          <w:szCs w:val="22"/>
          <w:color w:val="232323"/>
        </w:rPr>
        <w:t>Any dispute arising in connection with this Agreement shall be submitted to final and binding</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arbitration, except for equitable or injunctive actions or claims by Executive for workers' compensation, unemployment compensation or benefits under a Company Group benefits plan. Judgment upon any award rendered by arbitration may be entered in any court having jurisdiction thereof.</w:t>
      </w:r>
    </w:p>
    <w:p>
      <w:pPr>
        <w:spacing w:after="0" w:line="172" w:lineRule="exact"/>
        <w:rPr>
          <w:sz w:val="20"/>
          <w:szCs w:val="20"/>
          <w:color w:val="auto"/>
        </w:rPr>
      </w:pPr>
    </w:p>
    <w:p>
      <w:pPr>
        <w:jc w:val="both"/>
        <w:ind w:left="140" w:right="20" w:firstLine="1498"/>
        <w:spacing w:after="0" w:line="237" w:lineRule="auto"/>
        <w:rPr>
          <w:sz w:val="20"/>
          <w:szCs w:val="20"/>
          <w:color w:val="auto"/>
        </w:rPr>
      </w:pPr>
      <w:r>
        <w:rPr>
          <w:rFonts w:ascii="Times New Roman" w:cs="Times New Roman" w:eastAsia="Times New Roman" w:hAnsi="Times New Roman"/>
          <w:sz w:val="22"/>
          <w:szCs w:val="22"/>
          <w:b w:val="1"/>
          <w:bCs w:val="1"/>
          <w:color w:val="232323"/>
        </w:rPr>
        <w:t>(b)</w:t>
      </w:r>
      <w:r>
        <w:rPr>
          <w:rFonts w:ascii="Times New Roman" w:cs="Times New Roman" w:eastAsia="Times New Roman" w:hAnsi="Times New Roman"/>
          <w:sz w:val="22"/>
          <w:szCs w:val="22"/>
          <w:color w:val="232323"/>
        </w:rPr>
        <w:t>The arbitrator shall be selected by the mutual agreement of the parties. Any arbitrator selected shall</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be a professional having at least ten years of experience in labor or employment related practice areas (and, to the extent commercially reasonable, the arbitrator shall have experience in Danish labor or employment law). If the amount in dispute under this Agreement, the Employment Agreement or any Additional Agreement exceeds $250,000 in the aggregate, the parties shall select, by mutual agreement, a panel of three arbitrators, rather than one arbitrator, to resolve the dispute.</w:t>
      </w:r>
    </w:p>
    <w:p>
      <w:pPr>
        <w:spacing w:after="0" w:line="189" w:lineRule="exact"/>
        <w:rPr>
          <w:sz w:val="20"/>
          <w:szCs w:val="20"/>
          <w:color w:val="auto"/>
        </w:rPr>
      </w:pPr>
    </w:p>
    <w:p>
      <w:pPr>
        <w:jc w:val="both"/>
        <w:ind w:left="140" w:firstLine="1498"/>
        <w:spacing w:after="0" w:line="262" w:lineRule="auto"/>
        <w:rPr>
          <w:sz w:val="20"/>
          <w:szCs w:val="20"/>
          <w:color w:val="auto"/>
        </w:rPr>
      </w:pPr>
      <w:r>
        <w:rPr>
          <w:rFonts w:ascii="Times New Roman" w:cs="Times New Roman" w:eastAsia="Times New Roman" w:hAnsi="Times New Roman"/>
          <w:sz w:val="22"/>
          <w:szCs w:val="22"/>
          <w:b w:val="1"/>
          <w:bCs w:val="1"/>
          <w:color w:val="232323"/>
        </w:rPr>
        <w:t>(c)</w:t>
      </w:r>
      <w:r>
        <w:rPr>
          <w:rFonts w:ascii="Times New Roman" w:cs="Times New Roman" w:eastAsia="Times New Roman" w:hAnsi="Times New Roman"/>
          <w:sz w:val="22"/>
          <w:szCs w:val="22"/>
          <w:color w:val="232323"/>
        </w:rPr>
        <w:t>The arbitration shall be conducted in Denver, Colorado (unless the corporate headquarters of the</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Company shall have been moved to another location,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856615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640" w:top="1440" w:right="619" w:bottom="1440" w:gutter="0" w:footer="0" w:header="0"/>
        </w:sectPr>
      </w:pPr>
    </w:p>
    <w:bookmarkStart w:id="74" w:name="page75"/>
    <w:bookmarkEnd w:id="74"/>
    <w:p>
      <w:pPr>
        <w:spacing w:after="0" w:line="185" w:lineRule="exact"/>
        <w:rPr>
          <w:sz w:val="20"/>
          <w:szCs w:val="20"/>
          <w:color w:val="auto"/>
        </w:rPr>
      </w:pPr>
    </w:p>
    <w:p>
      <w:pPr>
        <w:jc w:val="both"/>
        <w:ind w:left="80" w:right="20"/>
        <w:spacing w:after="0" w:line="238" w:lineRule="auto"/>
        <w:rPr>
          <w:sz w:val="20"/>
          <w:szCs w:val="20"/>
          <w:color w:val="auto"/>
        </w:rPr>
      </w:pPr>
      <w:r>
        <w:rPr>
          <w:rFonts w:ascii="Times New Roman" w:cs="Times New Roman" w:eastAsia="Times New Roman" w:hAnsi="Times New Roman"/>
          <w:sz w:val="22"/>
          <w:szCs w:val="22"/>
          <w:color w:val="232323"/>
        </w:rPr>
        <w:t>case the arbitration shall be conducted in such location). Reasonable discovery shall be permitted as determined by the arbitrator or arbitrators. Both parties to an arbitration shall have the right to be represented by counsel. The Company shall be responsible for paying all administrative fees, costs and expenses associated with the arbitration, including filing fees, the arbitrator' s fees, and the expense of the arbitration proceedings, with all other costs and attorneys' fees to be paid by the party incurring such costs and fees (subject to any reimbursement pursuant to Section 8(d)).</w:t>
      </w:r>
    </w:p>
    <w:p>
      <w:pPr>
        <w:spacing w:after="0" w:line="173" w:lineRule="exact"/>
        <w:rPr>
          <w:sz w:val="20"/>
          <w:szCs w:val="20"/>
          <w:color w:val="auto"/>
        </w:rPr>
      </w:pPr>
    </w:p>
    <w:p>
      <w:pPr>
        <w:jc w:val="both"/>
        <w:ind w:left="80" w:firstLine="1498"/>
        <w:spacing w:after="0" w:line="233" w:lineRule="auto"/>
        <w:rPr>
          <w:sz w:val="20"/>
          <w:szCs w:val="20"/>
          <w:color w:val="auto"/>
        </w:rPr>
      </w:pPr>
      <w:r>
        <w:rPr>
          <w:rFonts w:ascii="Times New Roman" w:cs="Times New Roman" w:eastAsia="Times New Roman" w:hAnsi="Times New Roman"/>
          <w:sz w:val="22"/>
          <w:szCs w:val="22"/>
          <w:b w:val="1"/>
          <w:bCs w:val="1"/>
          <w:color w:val="232323"/>
        </w:rPr>
        <w:t>(d)</w:t>
      </w:r>
      <w:r>
        <w:rPr>
          <w:rFonts w:ascii="Times New Roman" w:cs="Times New Roman" w:eastAsia="Times New Roman" w:hAnsi="Times New Roman"/>
          <w:sz w:val="22"/>
          <w:szCs w:val="22"/>
          <w:color w:val="232323"/>
        </w:rPr>
        <w:t>Except as otherwise provided herein, this arbitration procedure is the exclusive remedy for any</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contractual, non-contractual or statutory claim of any kind, including claims arising under federal, state and local statutory law, including, but not limited to, the Age Discrimination in Employment Act of 1967, 29 U.S.C. § 621 et seq.; Title VII of the Civil Rights Act of 1964, 42 U.S.C. § 2000e et seq.; the Americans with Disabilities Act, 42 U.S.C. § 12101 et seq.; the Employee Retirement Income Security Act, 29 U.S.C. § 1001 et seq.; the Colorado Anti-Discrimination Act, C.R.S. 24-34-401, et seq.; and common law or equitable claims alleging breach of contract, defamation, fraud, outrageous conduct, promissory estoppel, violation of public policy, wrongful discharge or any other tort, contract or equitable theory (collectively, "Covered Matters"). Executive agrees to engage in any and all reasonable internal dispute resolution procedures established by the Company Group prior to pursuing arbitration under this Agreement. Nothing in this Agreement shall require arbitration of any Covered Matters which, by valid law that is binding on Executive and the Company and not preempted by federal law, cannot be the subject of a compulsory arbitration agreement, and nothing in this Agreement shall be interpreted to mean that Executive is precluded from filing a charge or complaint with any federal, state or local governmental agency, legislative body, regulatory body or self-regulatory organization that prohibits waiver or limitation of such right, including, but not limited to, the Equal Employment Opportunity Commission, and the National Labor Relations Board.</w:t>
      </w:r>
    </w:p>
    <w:p>
      <w:pPr>
        <w:spacing w:after="0" w:line="191" w:lineRule="exact"/>
        <w:rPr>
          <w:sz w:val="20"/>
          <w:szCs w:val="20"/>
          <w:color w:val="auto"/>
        </w:rPr>
      </w:pPr>
    </w:p>
    <w:p>
      <w:pPr>
        <w:jc w:val="both"/>
        <w:ind w:right="40" w:firstLine="1527"/>
        <w:spacing w:after="0" w:line="234" w:lineRule="auto"/>
        <w:rPr>
          <w:sz w:val="20"/>
          <w:szCs w:val="20"/>
          <w:color w:val="auto"/>
        </w:rPr>
      </w:pPr>
      <w:r>
        <w:rPr>
          <w:rFonts w:ascii="Times New Roman" w:cs="Times New Roman" w:eastAsia="Times New Roman" w:hAnsi="Times New Roman"/>
          <w:sz w:val="22"/>
          <w:szCs w:val="22"/>
          <w:b w:val="1"/>
          <w:bCs w:val="1"/>
          <w:color w:val="232323"/>
        </w:rPr>
        <w:t xml:space="preserve">(e)Reimbursement of Legal Expenses. </w:t>
      </w:r>
      <w:r>
        <w:rPr>
          <w:rFonts w:ascii="Times New Roman" w:cs="Times New Roman" w:eastAsia="Times New Roman" w:hAnsi="Times New Roman"/>
          <w:sz w:val="22"/>
          <w:szCs w:val="22"/>
          <w:color w:val="232323"/>
        </w:rPr>
        <w:t>If any contest or dispute shall arise between the Company and</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the Executive regarding any provision of this Agreement, the Company shall reimburse the Executive for all legal fees and expenses reasonably incurred by the Executive in connection with such contest or dispute, but only if the Executive prevails to a substantial extent with respect to at least one of Executive's material claims brought and pursued in connection with such contest or dispute. Such reimbursement shall be made as soon as practicable following the resolution of such contest or dispute (whether or not appealed) to the extent the Company receives written evidence of such fees and expenses. Any such reimbursements or expenses shall be paid not later than as soon as practicable following the resolution of the dispute but in no event later than the end of the first taxable year of the Executive in which the Company and the Executive enter into a legally binding settlement of such dispute, the Company concedes that the amount is payable, or the Company is required to make such payment pursuant to a final and non-appealable judgment or other binding decision.</w:t>
      </w:r>
    </w:p>
    <w:p>
      <w:pPr>
        <w:spacing w:after="0" w:line="176" w:lineRule="exact"/>
        <w:rPr>
          <w:sz w:val="20"/>
          <w:szCs w:val="20"/>
          <w:color w:val="auto"/>
        </w:rPr>
      </w:pPr>
    </w:p>
    <w:p>
      <w:pPr>
        <w:jc w:val="both"/>
        <w:ind w:right="40" w:firstLine="751"/>
        <w:spacing w:after="0" w:line="246" w:lineRule="auto"/>
        <w:tabs>
          <w:tab w:leader="none" w:pos="1141" w:val="left"/>
        </w:tabs>
        <w:numPr>
          <w:ilvl w:val="0"/>
          <w:numId w:val="65"/>
        </w:numPr>
        <w:rPr>
          <w:rFonts w:ascii="Times New Roman" w:cs="Times New Roman" w:eastAsia="Times New Roman" w:hAnsi="Times New Roman"/>
          <w:sz w:val="22"/>
          <w:szCs w:val="22"/>
          <w:b w:val="1"/>
          <w:bCs w:val="1"/>
          <w:color w:val="232323"/>
        </w:rPr>
      </w:pPr>
      <w:r>
        <w:rPr>
          <w:rFonts w:ascii="Times New Roman" w:cs="Times New Roman" w:eastAsia="Times New Roman" w:hAnsi="Times New Roman"/>
          <w:sz w:val="22"/>
          <w:szCs w:val="22"/>
          <w:b w:val="1"/>
          <w:bCs w:val="1"/>
          <w:color w:val="232323"/>
        </w:rPr>
        <w:t xml:space="preserve">Severability. </w:t>
      </w:r>
      <w:r>
        <w:rPr>
          <w:rFonts w:ascii="Times New Roman" w:cs="Times New Roman" w:eastAsia="Times New Roman" w:hAnsi="Times New Roman"/>
          <w:sz w:val="22"/>
          <w:szCs w:val="22"/>
          <w:color w:val="232323"/>
        </w:rPr>
        <w:t>If any provision of this Agreement shall be held by any Court of competent jurisdiction to be</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illegal, void or unenforceable, such provision shall be of no force and effect, but the enforceability of all other provisions of this Agreement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868045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700" w:top="1440" w:right="619" w:bottom="1440" w:gutter="0" w:footer="0" w:header="0"/>
        </w:sectPr>
      </w:pPr>
    </w:p>
    <w:bookmarkStart w:id="75" w:name="page76"/>
    <w:bookmarkEnd w:id="7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2323"/>
        </w:rPr>
        <w:t>unimpaired.</w:t>
      </w:r>
    </w:p>
    <w:p>
      <w:pPr>
        <w:spacing w:after="0" w:line="202" w:lineRule="exact"/>
        <w:rPr>
          <w:sz w:val="20"/>
          <w:szCs w:val="20"/>
          <w:color w:val="auto"/>
        </w:rPr>
      </w:pPr>
    </w:p>
    <w:p>
      <w:pPr>
        <w:jc w:val="both"/>
        <w:ind w:left="-20" w:right="40" w:firstLine="771"/>
        <w:spacing w:after="0" w:line="245" w:lineRule="auto"/>
        <w:tabs>
          <w:tab w:leader="none" w:pos="1135" w:val="left"/>
        </w:tabs>
        <w:numPr>
          <w:ilvl w:val="1"/>
          <w:numId w:val="66"/>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 xml:space="preserve">Binding Agreement. </w:t>
      </w:r>
      <w:r>
        <w:rPr>
          <w:rFonts w:ascii="Times New Roman" w:cs="Times New Roman" w:eastAsia="Times New Roman" w:hAnsi="Times New Roman"/>
          <w:sz w:val="21"/>
          <w:szCs w:val="21"/>
          <w:color w:val="232323"/>
        </w:rPr>
        <w:t>Executive shall not delegate or assign any of Executive's rights or obligations under</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this Agreement; provided, however, that the terms of this Agreement and all rights of Executive hereunder shall inure to the benefit of, and be enforceable by, Executive's personal or legal representatives, executors, administrators, successors, heirs, distributees, devisees and legatees. The Company shall cause any successor to the Company (whether direct or indirect and whether by purchase, lease, merger, consolidation, liquidation or otherwise) or to all or substantially all of the Company's business and/or assets to assume the Company's obligations under this Agreement and agree expressly to perform the Company's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or which becomes bound by the terms of the Agreement by operation of law or otherwise. This Agreement may be amended only by a written amendment executed by both parties.</w:t>
      </w:r>
    </w:p>
    <w:p>
      <w:pPr>
        <w:spacing w:after="0" w:line="177" w:lineRule="exact"/>
        <w:rPr>
          <w:rFonts w:ascii="Times New Roman" w:cs="Times New Roman" w:eastAsia="Times New Roman" w:hAnsi="Times New Roman"/>
          <w:sz w:val="21"/>
          <w:szCs w:val="21"/>
          <w:b w:val="1"/>
          <w:bCs w:val="1"/>
          <w:color w:val="232323"/>
        </w:rPr>
      </w:pPr>
    </w:p>
    <w:p>
      <w:pPr>
        <w:jc w:val="both"/>
        <w:ind w:left="-20" w:right="40" w:firstLine="757"/>
        <w:spacing w:after="0" w:line="234" w:lineRule="auto"/>
        <w:tabs>
          <w:tab w:leader="none" w:pos="1135" w:val="left"/>
        </w:tabs>
        <w:numPr>
          <w:ilvl w:val="0"/>
          <w:numId w:val="67"/>
        </w:numPr>
        <w:rPr>
          <w:rFonts w:ascii="Times New Roman" w:cs="Times New Roman" w:eastAsia="Times New Roman" w:hAnsi="Times New Roman"/>
          <w:sz w:val="22"/>
          <w:szCs w:val="22"/>
          <w:b w:val="1"/>
          <w:bCs w:val="1"/>
          <w:color w:val="232323"/>
        </w:rPr>
      </w:pPr>
      <w:r>
        <w:rPr>
          <w:rFonts w:ascii="Times New Roman" w:cs="Times New Roman" w:eastAsia="Times New Roman" w:hAnsi="Times New Roman"/>
          <w:sz w:val="22"/>
          <w:szCs w:val="22"/>
          <w:b w:val="1"/>
          <w:bCs w:val="1"/>
          <w:color w:val="232323"/>
        </w:rPr>
        <w:t xml:space="preserve">Effect on other Agreements and Benefits. </w:t>
      </w:r>
      <w:r>
        <w:rPr>
          <w:rFonts w:ascii="Times New Roman" w:cs="Times New Roman" w:eastAsia="Times New Roman" w:hAnsi="Times New Roman"/>
          <w:sz w:val="22"/>
          <w:szCs w:val="22"/>
          <w:color w:val="232323"/>
        </w:rPr>
        <w:t>Except to the extent expressly set forth herein, any benefit or</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compensation to which Executive is entitled under the Employment Agreement, or any other agreement between Executive and the Company Group, including, the Retention Bonus Agreement (each, an "Additional Agreement'), or any plan maintained by the Company Group in which the Executive participates or participated shall not be modified or lessened in any way, but shall be payable according to the terms of the applicable plan or agreement. Notwithstanding the foregoing, the severance benefits received by Executive upon a Qualifying Termination under the terms of this Agreement shall be in lieu of any substantially similar severance benefits to which the Executive would otherwise be entitled under the Employment Agreement or any other severance policy or plan maintained by the Company Group as a result of such Qualifying Termination (the intent of the foregoing to prevent "double dipping"). For example, the Executive will not be entitled to the Severance Pay under Clause 5.1.3 of the Employment Agreement if the Executive is entitled to the Severance Payment under Section 2.a of this Agreement.</w:t>
      </w:r>
    </w:p>
    <w:p>
      <w:pPr>
        <w:spacing w:after="0" w:line="193" w:lineRule="exact"/>
        <w:rPr>
          <w:rFonts w:ascii="Times New Roman" w:cs="Times New Roman" w:eastAsia="Times New Roman" w:hAnsi="Times New Roman"/>
          <w:sz w:val="22"/>
          <w:szCs w:val="22"/>
          <w:b w:val="1"/>
          <w:bCs w:val="1"/>
          <w:color w:val="232323"/>
        </w:rPr>
      </w:pPr>
    </w:p>
    <w:p>
      <w:pPr>
        <w:ind w:left="60" w:right="20" w:firstLine="751"/>
        <w:spacing w:after="0" w:line="282" w:lineRule="auto"/>
        <w:tabs>
          <w:tab w:leader="none" w:pos="1143" w:val="left"/>
        </w:tabs>
        <w:numPr>
          <w:ilvl w:val="2"/>
          <w:numId w:val="67"/>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 xml:space="preserve">Employment Taxes. </w:t>
      </w:r>
      <w:r>
        <w:rPr>
          <w:rFonts w:ascii="Times New Roman" w:cs="Times New Roman" w:eastAsia="Times New Roman" w:hAnsi="Times New Roman"/>
          <w:sz w:val="21"/>
          <w:szCs w:val="21"/>
          <w:color w:val="232323"/>
        </w:rPr>
        <w:t>All payments made pursuant to this Agreement shall be subject to withholding of</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applicable income and employment taxes.</w:t>
      </w:r>
    </w:p>
    <w:p>
      <w:pPr>
        <w:spacing w:after="0" w:line="121" w:lineRule="exact"/>
        <w:rPr>
          <w:rFonts w:ascii="Times New Roman" w:cs="Times New Roman" w:eastAsia="Times New Roman" w:hAnsi="Times New Roman"/>
          <w:sz w:val="21"/>
          <w:szCs w:val="21"/>
          <w:b w:val="1"/>
          <w:bCs w:val="1"/>
          <w:color w:val="232323"/>
        </w:rPr>
      </w:pPr>
    </w:p>
    <w:p>
      <w:pPr>
        <w:jc w:val="both"/>
        <w:ind w:left="60" w:firstLine="751"/>
        <w:spacing w:after="0" w:line="247" w:lineRule="auto"/>
        <w:tabs>
          <w:tab w:leader="none" w:pos="1143" w:val="left"/>
        </w:tabs>
        <w:numPr>
          <w:ilvl w:val="2"/>
          <w:numId w:val="67"/>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 xml:space="preserve">Section 409A. </w:t>
      </w:r>
      <w:r>
        <w:rPr>
          <w:rFonts w:ascii="Times New Roman" w:cs="Times New Roman" w:eastAsia="Times New Roman" w:hAnsi="Times New Roman"/>
          <w:sz w:val="21"/>
          <w:szCs w:val="21"/>
          <w:color w:val="232323"/>
        </w:rPr>
        <w:t>This Agreement is intended to comply with the requirements of Section 409A of the Code,</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and shall be interpreted and construed consistently with such intent. The payments to Executive pursuant to this Agreement are also intended to be exempt from Section 409A of the Code to the maximum extent possible. The amount referred to herein as the "Severance Pay" is intended to be exempt from being treated as deferred compensation under the separation pay exemption pursuant to Treasury regulation §1.409A-1(b)(9). The change in the time and form of payment of the Severance Payment from installments as provided in the Employment Agreement to a lump sum payment as provided herein is intended to comply with Section 409A in reliance on such subsection of the regulations and, as applicable, Treasury regulation §1.409A-3(c). The amount 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868045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700" w:top="1440" w:right="639" w:bottom="1440" w:gutter="0" w:footer="0" w:header="0"/>
        </w:sectPr>
      </w:pPr>
    </w:p>
    <w:bookmarkStart w:id="76" w:name="page77"/>
    <w:bookmarkEnd w:id="76"/>
    <w:p>
      <w:pPr>
        <w:spacing w:after="0" w:line="185" w:lineRule="exact"/>
        <w:rPr>
          <w:sz w:val="20"/>
          <w:szCs w:val="20"/>
          <w:color w:val="auto"/>
        </w:rPr>
      </w:pPr>
    </w:p>
    <w:p>
      <w:pPr>
        <w:jc w:val="both"/>
        <w:ind w:left="140" w:right="20"/>
        <w:spacing w:after="0" w:line="244" w:lineRule="auto"/>
        <w:rPr>
          <w:sz w:val="20"/>
          <w:szCs w:val="20"/>
          <w:color w:val="auto"/>
        </w:rPr>
      </w:pPr>
      <w:r>
        <w:rPr>
          <w:rFonts w:ascii="Times New Roman" w:cs="Times New Roman" w:eastAsia="Times New Roman" w:hAnsi="Times New Roman"/>
          <w:sz w:val="21"/>
          <w:szCs w:val="21"/>
          <w:color w:val="232323"/>
        </w:rPr>
        <w:t xml:space="preserve">to herein as the "Additional Payment" is a new legally binding right created pursuant to this Agreement and is intended to be exempt from Section 409A of the Code as short-term deferral pursuant to Treasury regulation §1.409A-l(b)(4). In the event the terms of this Agreement would subject Executive to taxes or penalties under Section 409A of the Code </w:t>
      </w:r>
      <w:r>
        <w:rPr>
          <w:rFonts w:ascii="Times New Roman" w:cs="Times New Roman" w:eastAsia="Times New Roman" w:hAnsi="Times New Roman"/>
          <w:sz w:val="21"/>
          <w:szCs w:val="21"/>
          <w:b w:val="1"/>
          <w:bCs w:val="1"/>
          <w:i w:val="1"/>
          <w:iCs w:val="1"/>
          <w:color w:val="232323"/>
        </w:rPr>
        <w:t xml:space="preserve">("409A Penalties"), </w:t>
      </w:r>
      <w:r>
        <w:rPr>
          <w:rFonts w:ascii="Times New Roman" w:cs="Times New Roman" w:eastAsia="Times New Roman" w:hAnsi="Times New Roman"/>
          <w:sz w:val="21"/>
          <w:szCs w:val="21"/>
          <w:color w:val="232323"/>
        </w:rPr>
        <w:t>the Company and Executive shall cooperate diligently to amend the terms of the Agreement to</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avoid such 409A Penalties, to the extent possible. To the extent any amounts under this Agreement are payable by reference to Executive's "termination of employment," such term shall be deemed to refer to Executive's "separation from service," within the meaning of Section 409A of the Code. Notwithstanding any other provision in this Agreement, if Executive is a "specified employee," as defined in Section 409A of the Code, as of the date of Executive's separation from service, then to the extent any amount payable under this Agreement (i) constitutes the payment of nonqualified deferred compensation, within the meaning of Section 409A of the Code, (ii) is payable upon Executive's separation from service and (iii) under the terms of this Agreement would be payable prior to the six-month anniversary of Executive's separation from service, such payment shall be delayed until the earlier to occur of (a) the six-month anniversary of the separation from service or (b) the date of Executive's death.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w:t>
      </w:r>
    </w:p>
    <w:p>
      <w:pPr>
        <w:spacing w:after="0" w:line="176" w:lineRule="exact"/>
        <w:rPr>
          <w:sz w:val="20"/>
          <w:szCs w:val="20"/>
          <w:color w:val="auto"/>
        </w:rPr>
      </w:pPr>
    </w:p>
    <w:p>
      <w:pPr>
        <w:ind w:left="160" w:firstLine="746"/>
        <w:spacing w:after="0" w:line="282" w:lineRule="auto"/>
        <w:tabs>
          <w:tab w:leader="none" w:pos="1230" w:val="left"/>
        </w:tabs>
        <w:numPr>
          <w:ilvl w:val="1"/>
          <w:numId w:val="68"/>
        </w:numPr>
        <w:rPr>
          <w:rFonts w:ascii="Times New Roman" w:cs="Times New Roman" w:eastAsia="Times New Roman" w:hAnsi="Times New Roman"/>
          <w:sz w:val="21"/>
          <w:szCs w:val="21"/>
          <w:b w:val="1"/>
          <w:bCs w:val="1"/>
          <w:color w:val="232323"/>
        </w:rPr>
      </w:pPr>
      <w:r>
        <w:rPr>
          <w:rFonts w:ascii="Times New Roman" w:cs="Times New Roman" w:eastAsia="Times New Roman" w:hAnsi="Times New Roman"/>
          <w:sz w:val="21"/>
          <w:szCs w:val="21"/>
          <w:b w:val="1"/>
          <w:bCs w:val="1"/>
          <w:color w:val="232323"/>
        </w:rPr>
        <w:t xml:space="preserve">Counterparts. </w:t>
      </w:r>
      <w:r>
        <w:rPr>
          <w:rFonts w:ascii="Times New Roman" w:cs="Times New Roman" w:eastAsia="Times New Roman" w:hAnsi="Times New Roman"/>
          <w:sz w:val="21"/>
          <w:szCs w:val="21"/>
          <w:color w:val="232323"/>
        </w:rPr>
        <w:t>This Agreement may be executed in counterparts, each of which shall be deemed an original,</w:t>
      </w:r>
      <w:r>
        <w:rPr>
          <w:rFonts w:ascii="Times New Roman" w:cs="Times New Roman" w:eastAsia="Times New Roman" w:hAnsi="Times New Roman"/>
          <w:sz w:val="21"/>
          <w:szCs w:val="21"/>
          <w:b w:val="1"/>
          <w:bCs w:val="1"/>
          <w:color w:val="232323"/>
        </w:rPr>
        <w:t xml:space="preserve"> </w:t>
      </w:r>
      <w:r>
        <w:rPr>
          <w:rFonts w:ascii="Times New Roman" w:cs="Times New Roman" w:eastAsia="Times New Roman" w:hAnsi="Times New Roman"/>
          <w:sz w:val="21"/>
          <w:szCs w:val="21"/>
          <w:color w:val="232323"/>
        </w:rPr>
        <w:t>but all of which together will constitute one and the same instrument.</w:t>
      </w:r>
    </w:p>
    <w:p>
      <w:pPr>
        <w:spacing w:after="0" w:line="130" w:lineRule="exact"/>
        <w:rPr>
          <w:rFonts w:ascii="Times New Roman" w:cs="Times New Roman" w:eastAsia="Times New Roman" w:hAnsi="Times New Roman"/>
          <w:sz w:val="21"/>
          <w:szCs w:val="21"/>
          <w:b w:val="1"/>
          <w:bCs w:val="1"/>
          <w:color w:val="232323"/>
        </w:rPr>
      </w:pPr>
    </w:p>
    <w:p>
      <w:pPr>
        <w:ind w:left="40" w:right="200" w:firstLine="746"/>
        <w:spacing w:after="0" w:line="262" w:lineRule="auto"/>
        <w:tabs>
          <w:tab w:leader="none" w:pos="1222" w:val="left"/>
        </w:tabs>
        <w:numPr>
          <w:ilvl w:val="0"/>
          <w:numId w:val="69"/>
        </w:numPr>
        <w:rPr>
          <w:rFonts w:ascii="Times New Roman" w:cs="Times New Roman" w:eastAsia="Times New Roman" w:hAnsi="Times New Roman"/>
          <w:sz w:val="22"/>
          <w:szCs w:val="22"/>
          <w:b w:val="1"/>
          <w:bCs w:val="1"/>
          <w:color w:val="232323"/>
        </w:rPr>
      </w:pPr>
      <w:r>
        <w:rPr>
          <w:rFonts w:ascii="Times New Roman" w:cs="Times New Roman" w:eastAsia="Times New Roman" w:hAnsi="Times New Roman"/>
          <w:sz w:val="22"/>
          <w:szCs w:val="22"/>
          <w:b w:val="1"/>
          <w:bCs w:val="1"/>
          <w:color w:val="232323"/>
        </w:rPr>
        <w:t xml:space="preserve">Definitions. </w:t>
      </w:r>
      <w:r>
        <w:rPr>
          <w:rFonts w:ascii="Times New Roman" w:cs="Times New Roman" w:eastAsia="Times New Roman" w:hAnsi="Times New Roman"/>
          <w:sz w:val="22"/>
          <w:szCs w:val="22"/>
          <w:color w:val="232323"/>
        </w:rPr>
        <w:t>In addition to terms defined above and elsewhere in this Agreement, the following terms shall</w:t>
      </w:r>
      <w:r>
        <w:rPr>
          <w:rFonts w:ascii="Times New Roman" w:cs="Times New Roman" w:eastAsia="Times New Roman" w:hAnsi="Times New Roman"/>
          <w:sz w:val="22"/>
          <w:szCs w:val="22"/>
          <w:b w:val="1"/>
          <w:bCs w:val="1"/>
          <w:color w:val="232323"/>
        </w:rPr>
        <w:t xml:space="preserve"> </w:t>
      </w:r>
      <w:r>
        <w:rPr>
          <w:rFonts w:ascii="Times New Roman" w:cs="Times New Roman" w:eastAsia="Times New Roman" w:hAnsi="Times New Roman"/>
          <w:sz w:val="22"/>
          <w:szCs w:val="22"/>
          <w:color w:val="232323"/>
        </w:rPr>
        <w:t>have the meanings set forth below:</w:t>
      </w:r>
    </w:p>
    <w:p>
      <w:pPr>
        <w:spacing w:after="0" w:line="167" w:lineRule="exact"/>
        <w:rPr>
          <w:sz w:val="20"/>
          <w:szCs w:val="20"/>
          <w:color w:val="auto"/>
        </w:rPr>
      </w:pPr>
    </w:p>
    <w:p>
      <w:pPr>
        <w:jc w:val="both"/>
        <w:ind w:left="40" w:right="100" w:hanging="26"/>
        <w:spacing w:after="0" w:line="251"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"Affiliate" </w:t>
      </w:r>
      <w:r>
        <w:rPr>
          <w:rFonts w:ascii="Times New Roman" w:cs="Times New Roman" w:eastAsia="Times New Roman" w:hAnsi="Times New Roman"/>
          <w:sz w:val="21"/>
          <w:szCs w:val="21"/>
          <w:color w:val="232323"/>
        </w:rPr>
        <w:t>means with respect to any Person, any other Person who directly or indirectly, through one or more</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95" w:lineRule="exact"/>
        <w:rPr>
          <w:sz w:val="20"/>
          <w:szCs w:val="20"/>
          <w:color w:val="auto"/>
        </w:rPr>
      </w:pPr>
    </w:p>
    <w:p>
      <w:pPr>
        <w:jc w:val="both"/>
        <w:ind w:left="40" w:right="100" w:hanging="24"/>
        <w:spacing w:after="0" w:line="282"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"Annual Bonus Plan" </w:t>
      </w:r>
      <w:r>
        <w:rPr>
          <w:rFonts w:ascii="Times New Roman" w:cs="Times New Roman" w:eastAsia="Times New Roman" w:hAnsi="Times New Roman"/>
          <w:sz w:val="21"/>
          <w:szCs w:val="21"/>
          <w:color w:val="232323"/>
        </w:rPr>
        <w:t>means the annual bonus plan established by the Board in which the Executive and other members</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of management within the Company participate.</w:t>
      </w:r>
    </w:p>
    <w:p>
      <w:pPr>
        <w:spacing w:after="0" w:line="162" w:lineRule="exact"/>
        <w:rPr>
          <w:sz w:val="20"/>
          <w:szCs w:val="20"/>
          <w:color w:val="auto"/>
        </w:rPr>
      </w:pPr>
    </w:p>
    <w:p>
      <w:pPr>
        <w:jc w:val="both"/>
        <w:ind w:left="40" w:right="120" w:hanging="24"/>
        <w:spacing w:after="0" w:line="282"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"Applicable Good Reason Period'' </w:t>
      </w:r>
      <w:r>
        <w:rPr>
          <w:rFonts w:ascii="Times New Roman" w:cs="Times New Roman" w:eastAsia="Times New Roman" w:hAnsi="Times New Roman"/>
          <w:sz w:val="21"/>
          <w:szCs w:val="21"/>
          <w:color w:val="232323"/>
        </w:rPr>
        <w:t>means the period commencing on the first anniversary of the date of the consummation</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of a Change in Control and ending twelve (12) months thereafter.</w:t>
      </w:r>
    </w:p>
    <w:p>
      <w:pPr>
        <w:spacing w:after="0" w:line="162" w:lineRule="exact"/>
        <w:rPr>
          <w:sz w:val="20"/>
          <w:szCs w:val="20"/>
          <w:color w:val="auto"/>
        </w:rPr>
      </w:pPr>
    </w:p>
    <w:p>
      <w:pPr>
        <w:jc w:val="both"/>
        <w:ind w:left="20" w:right="120" w:hanging="24"/>
        <w:spacing w:after="0" w:line="282"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"Award'' </w:t>
      </w:r>
      <w:r>
        <w:rPr>
          <w:rFonts w:ascii="Times New Roman" w:cs="Times New Roman" w:eastAsia="Times New Roman" w:hAnsi="Times New Roman"/>
          <w:sz w:val="21"/>
          <w:szCs w:val="21"/>
          <w:color w:val="232323"/>
        </w:rPr>
        <w:t>means any options, restricted stock, restricted stock units or other equity incentives awarded to the Executive</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under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2323"/>
        </w:rPr>
        <w:t xml:space="preserve">"Award Agreement" </w:t>
      </w:r>
      <w:r>
        <w:rPr>
          <w:rFonts w:ascii="Times New Roman" w:cs="Times New Roman" w:eastAsia="Times New Roman" w:hAnsi="Times New Roman"/>
          <w:sz w:val="21"/>
          <w:szCs w:val="21"/>
          <w:color w:val="232323"/>
        </w:rPr>
        <w:t>means the written agreement between the Company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897255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440" w:right="619"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22"/>
          <w:szCs w:val="22"/>
          <w:color w:val="232323"/>
        </w:rPr>
        <w:t>evidencing an Award under the Plan.</w:t>
      </w:r>
    </w:p>
    <w:p>
      <w:pPr>
        <w:spacing w:after="0" w:line="233" w:lineRule="exact"/>
        <w:rPr>
          <w:sz w:val="20"/>
          <w:szCs w:val="20"/>
          <w:color w:val="auto"/>
        </w:rPr>
      </w:pPr>
    </w:p>
    <w:p>
      <w:pPr>
        <w:jc w:val="both"/>
        <w:ind w:left="40" w:right="380" w:hanging="20"/>
        <w:spacing w:after="0" w:line="261"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"Base Salary" </w:t>
      </w:r>
      <w:r>
        <w:rPr>
          <w:rFonts w:ascii="Times New Roman" w:cs="Times New Roman" w:eastAsia="Times New Roman" w:hAnsi="Times New Roman"/>
          <w:sz w:val="21"/>
          <w:szCs w:val="21"/>
          <w:color w:val="232323"/>
        </w:rPr>
        <w:t>means the Executive's annual base salary paid or payable by the Company or any of its Subsidiaries at the</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rate in effect (or required to be in effect before any diminution that is a basis of the Executive's termination for Good Reason) on the Date of Termination.</w:t>
      </w:r>
    </w:p>
    <w:p>
      <w:pPr>
        <w:spacing w:after="0" w:line="18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"Cause" </w:t>
      </w:r>
      <w:r>
        <w:rPr>
          <w:rFonts w:ascii="Times New Roman" w:cs="Times New Roman" w:eastAsia="Times New Roman" w:hAnsi="Times New Roman"/>
          <w:sz w:val="21"/>
          <w:szCs w:val="21"/>
          <w:color w:val="232323"/>
        </w:rPr>
        <w:t>means Executive's (1) willful gross misconduct or gross or persistent negligence in the discharge if their duties; (2)</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act of dishonesty or willful concealment, in each case, that has a material and adverse impact on the business or reputation of the New Employer, the Company or its other Subsidiaries; (3) breach of their fiduciary duty or duty of loyalty to the New Employer and the Company, which has not been cured by the Executive (to the extent such breach is capable of cure, as reasonably determined by the New Employer or the Company's board of directors as the case may be) within ten (10) business days after written notice of such is given to the Executive by the New Employer or the Company; (4) a material breach of the Executives obligations under the employment with New Employer which has not been cured by the Executive within (30) days after written notice of such breach is given to the Executive by the New Employer (to the extent such breach is capable of cure, as reasonably determined by the New Employer); (5) material violation of any applicable written code of conduct or code of ethics, or policies or procedures of general applicability, including but limited to policies prohibiting discrimination, harassment and retaliation; (6) commission of one or more acts of substance abuse which are materially injurious to the New Employer or the Company; (7) conviction or plea of no contest to a felony under Danish or Colorado law (excluding traffic violations).</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i w:val="1"/>
          <w:iCs w:val="1"/>
          <w:color w:val="232323"/>
        </w:rPr>
        <w:t xml:space="preserve">"Change in Control" </w:t>
      </w:r>
      <w:r>
        <w:rPr>
          <w:rFonts w:ascii="Times New Roman" w:cs="Times New Roman" w:eastAsia="Times New Roman" w:hAnsi="Times New Roman"/>
          <w:sz w:val="21"/>
          <w:szCs w:val="21"/>
          <w:color w:val="232323"/>
        </w:rPr>
        <w:t>means:</w:t>
      </w:r>
    </w:p>
    <w:p>
      <w:pPr>
        <w:spacing w:after="0" w:line="218" w:lineRule="exact"/>
        <w:rPr>
          <w:sz w:val="20"/>
          <w:szCs w:val="20"/>
          <w:color w:val="auto"/>
        </w:rPr>
      </w:pPr>
    </w:p>
    <w:p>
      <w:pPr>
        <w:jc w:val="both"/>
        <w:ind w:left="140" w:right="380" w:firstLine="2164"/>
        <w:spacing w:after="0" w:line="239" w:lineRule="auto"/>
        <w:tabs>
          <w:tab w:leader="none" w:pos="2773" w:val="left"/>
        </w:tabs>
        <w:numPr>
          <w:ilvl w:val="0"/>
          <w:numId w:val="70"/>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the acquisition by any person, entity or "group" (within the meaning of Section 13(d)(3) or 14(d)(2) of the Exchange Act), of beneficial ownership (within the meaning of Rule 13d-3 promulgated under the Exchange Act) of 50% or more of either the then outstanding equity interests in the Company or the combined voting power of the Company's then outstanding voting securities; or</w:t>
      </w:r>
    </w:p>
    <w:p>
      <w:pPr>
        <w:spacing w:after="0" w:line="180" w:lineRule="exact"/>
        <w:rPr>
          <w:rFonts w:ascii="Times New Roman" w:cs="Times New Roman" w:eastAsia="Times New Roman" w:hAnsi="Times New Roman"/>
          <w:sz w:val="22"/>
          <w:szCs w:val="22"/>
          <w:color w:val="232323"/>
        </w:rPr>
      </w:pPr>
    </w:p>
    <w:p>
      <w:pPr>
        <w:jc w:val="both"/>
        <w:ind w:left="140" w:right="400" w:firstLine="2164"/>
        <w:spacing w:after="0" w:line="238" w:lineRule="auto"/>
        <w:tabs>
          <w:tab w:leader="none" w:pos="2773" w:val="left"/>
        </w:tabs>
        <w:numPr>
          <w:ilvl w:val="0"/>
          <w:numId w:val="70"/>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the consummation of a reorganization, merger or consolidation of the Company or the sale of all or substantially all of the assets of the Company, in each case with respect to which the persons who held equity interests in the Company immediately prior to such reorganization, merger, consolidation or sale do not immediately thereafter own, directly or indirectly, 50% or more of the combined voting power of the then outstanding securities of the surviving or resulting corporation or other entity;</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232323"/>
        </w:rPr>
        <w:t>in each case, provided that such event constitutes a "change in control" within the meaning of Section 409A of the Code.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“Code” </w:t>
      </w:r>
      <w:r>
        <w:rPr>
          <w:rFonts w:ascii="Times New Roman" w:cs="Times New Roman" w:eastAsia="Times New Roman" w:hAnsi="Times New Roman"/>
          <w:sz w:val="22"/>
          <w:szCs w:val="22"/>
          <w:color w:val="232323"/>
        </w:rPr>
        <w:t>means the Internal Revenue Code of 1986, as amended from time to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means the Company and its direct and indirect Subsidiaries, including New Employer.</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(i) where the Executive’s employment is terminated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893445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08" w:right="339" w:bottom="1440" w:gutter="0" w:footer="0" w:header="0"/>
        </w:sectPr>
      </w:pPr>
    </w:p>
    <w:bookmarkStart w:id="78" w:name="page79"/>
    <w:bookmarkEnd w:id="78"/>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notice, the date on which notice of termination is given; (ii) where the Executive’s employment is terminated by summary dismissal, the date on which the summary dismissal takes effect; and (iii) where the Executive’s employment terminates due to death, the date of the Executive’s death.</w:t>
      </w:r>
    </w:p>
    <w:p>
      <w:pPr>
        <w:spacing w:after="0" w:line="167" w:lineRule="exact"/>
        <w:rPr>
          <w:sz w:val="20"/>
          <w:szCs w:val="20"/>
          <w:color w:val="auto"/>
        </w:rPr>
      </w:pPr>
    </w:p>
    <w:p>
      <w:pPr>
        <w:jc w:val="both"/>
        <w:ind w:left="40" w:right="20"/>
        <w:spacing w:after="0" w:line="264"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Employment Agreement, dated September 1, 2026, between Gogo Denmark ApS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Executive, as amended.</w:t>
      </w:r>
    </w:p>
    <w:p>
      <w:pPr>
        <w:spacing w:after="0" w:line="145" w:lineRule="exact"/>
        <w:rPr>
          <w:sz w:val="20"/>
          <w:szCs w:val="20"/>
          <w:color w:val="auto"/>
        </w:rPr>
      </w:pPr>
    </w:p>
    <w:p>
      <w:pPr>
        <w:jc w:val="both"/>
        <w:ind w:left="40" w:right="220"/>
        <w:spacing w:after="0" w:line="243"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(i) a reduction by the Company or any of its Subsidiaries in Executive’s Base Salary or in 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Target Bonus or other compensation offered under the Retention Bonus Agreement; (ii) a material diminution in the Executive’s position with the Company Group, such that the Executive is required to perform duties, authorities and responsibilities following the Applicable Good Reason Period which would have been assigned to a position that would have been below the level of Executive Vice President, Chief Revenue Officer under the title structure in effect at the Company Group immediately prior to the Change in Control; (iii) the relocation of Executive’s principal place of employment to a geographic location greater than fifty (50) miles from New Employer's address; (iv) the occurrence of a Change in Control following which the acquiror does not assume the obligations of the Company Group under this Agreement, the Employment Agreement or the Retention Bonus Agreement; and (v) any material failure by the Company or any Subsidiary to pay the Executive any compensation when otherwise due under the terms of the Employment Agreement or any Additional Agreement; provided, however, that Executive may resign for Good Reason for purposes of this Agreement only if (x) he has given the Company written notice of its breach within ninety</w:t>
      </w:r>
    </w:p>
    <w:p>
      <w:pPr>
        <w:spacing w:after="0" w:line="12" w:lineRule="exact"/>
        <w:rPr>
          <w:sz w:val="20"/>
          <w:szCs w:val="20"/>
          <w:color w:val="auto"/>
        </w:rPr>
      </w:pPr>
    </w:p>
    <w:p>
      <w:pPr>
        <w:ind w:left="40" w:right="220" w:firstLine="1"/>
        <w:spacing w:after="0" w:line="261" w:lineRule="auto"/>
        <w:tabs>
          <w:tab w:leader="none" w:pos="46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date that the Executive discovers such breach and (y) the Company has not remedied such breach on or before the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day following the Company’s receipt of such notice.</w:t>
      </w:r>
    </w:p>
    <w:p>
      <w:pPr>
        <w:spacing w:after="0" w:line="176" w:lineRule="exact"/>
        <w:rPr>
          <w:sz w:val="20"/>
          <w:szCs w:val="20"/>
          <w:color w:val="auto"/>
        </w:rPr>
      </w:pPr>
    </w:p>
    <w:p>
      <w:pPr>
        <w:ind w:left="40" w:right="20"/>
        <w:spacing w:after="0" w:line="288" w:lineRule="auto"/>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 individual, partnership, corporation, limited liability company, joint stock company, unincorporated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organization or association, trust, joint venture, association or other similar entity, whether or not a legal entity.</w:t>
      </w:r>
    </w:p>
    <w:p>
      <w:pPr>
        <w:spacing w:after="0" w:line="217" w:lineRule="exact"/>
        <w:rPr>
          <w:sz w:val="20"/>
          <w:szCs w:val="20"/>
          <w:color w:val="auto"/>
        </w:rPr>
      </w:pPr>
    </w:p>
    <w:p>
      <w:pPr>
        <w:jc w:val="both"/>
        <w:ind w:left="40" w:hanging="2"/>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the 2024 Omnibus Equity Incentive Plan (as amended from time to time or any successor equity plan, or any other plan or arrangement implemented by the Company or its Affiliates, including pursuant to the inducement grant exception to shareholder approval of equity plans set forth in NASDAQ Listing Rule 5635(c)(4)).</w:t>
      </w:r>
    </w:p>
    <w:p>
      <w:pPr>
        <w:spacing w:after="0" w:line="210" w:lineRule="exact"/>
        <w:rPr>
          <w:sz w:val="20"/>
          <w:szCs w:val="20"/>
          <w:color w:val="auto"/>
        </w:rPr>
      </w:pPr>
    </w:p>
    <w:p>
      <w:pPr>
        <w:ind w:left="40" w:hanging="30"/>
        <w:spacing w:after="0" w:line="282" w:lineRule="auto"/>
        <w:rPr>
          <w:sz w:val="20"/>
          <w:szCs w:val="20"/>
          <w:color w:val="auto"/>
        </w:rPr>
      </w:pPr>
      <w:r>
        <w:rPr>
          <w:rFonts w:ascii="Times New Roman" w:cs="Times New Roman" w:eastAsia="Times New Roman" w:hAnsi="Times New Roman"/>
          <w:sz w:val="21"/>
          <w:szCs w:val="21"/>
          <w:b w:val="1"/>
          <w:bCs w:val="1"/>
          <w:i w:val="1"/>
          <w:iCs w:val="1"/>
          <w:color w:val="363636"/>
        </w:rPr>
        <w:t xml:space="preserve">"Performance </w:t>
      </w:r>
      <w:r>
        <w:rPr>
          <w:rFonts w:ascii="Times New Roman" w:cs="Times New Roman" w:eastAsia="Times New Roman" w:hAnsi="Times New Roman"/>
          <w:sz w:val="21"/>
          <w:szCs w:val="21"/>
          <w:b w:val="1"/>
          <w:bCs w:val="1"/>
          <w:i w:val="1"/>
          <w:iCs w:val="1"/>
          <w:color w:val="232323"/>
        </w:rPr>
        <w:t>Cycle"</w:t>
      </w:r>
      <w:r>
        <w:rPr>
          <w:rFonts w:ascii="Times New Roman" w:cs="Times New Roman" w:eastAsia="Times New Roman" w:hAnsi="Times New Roman"/>
          <w:sz w:val="21"/>
          <w:szCs w:val="21"/>
          <w:b w:val="1"/>
          <w:bCs w:val="1"/>
          <w:i w:val="1"/>
          <w:iCs w:val="1"/>
          <w:color w:val="363636"/>
        </w:rPr>
        <w:t xml:space="preserve"> </w:t>
      </w:r>
      <w:r>
        <w:rPr>
          <w:rFonts w:ascii="Times New Roman" w:cs="Times New Roman" w:eastAsia="Times New Roman" w:hAnsi="Times New Roman"/>
          <w:sz w:val="21"/>
          <w:szCs w:val="21"/>
          <w:color w:val="232323"/>
        </w:rPr>
        <w:t>means the period of time selected by the Committee and set forth in an Award during which</w:t>
      </w:r>
      <w:r>
        <w:rPr>
          <w:rFonts w:ascii="Times New Roman" w:cs="Times New Roman" w:eastAsia="Times New Roman" w:hAnsi="Times New Roman"/>
          <w:sz w:val="21"/>
          <w:szCs w:val="21"/>
          <w:b w:val="1"/>
          <w:bCs w:val="1"/>
          <w:i w:val="1"/>
          <w:iCs w:val="1"/>
          <w:color w:val="363636"/>
        </w:rPr>
        <w:t xml:space="preserve"> </w:t>
      </w:r>
      <w:r>
        <w:rPr>
          <w:rFonts w:ascii="Times New Roman" w:cs="Times New Roman" w:eastAsia="Times New Roman" w:hAnsi="Times New Roman"/>
          <w:sz w:val="21"/>
          <w:szCs w:val="21"/>
          <w:color w:val="232323"/>
        </w:rPr>
        <w:t>performance is measured for the purpose of determining the extent to which an Award has been earned or vested.</w:t>
      </w:r>
    </w:p>
    <w:p>
      <w:pPr>
        <w:spacing w:after="0" w:line="162" w:lineRule="exact"/>
        <w:rPr>
          <w:sz w:val="20"/>
          <w:szCs w:val="20"/>
          <w:color w:val="auto"/>
        </w:rPr>
      </w:pPr>
    </w:p>
    <w:p>
      <w:pPr>
        <w:ind w:left="40" w:hanging="35"/>
        <w:spacing w:after="0" w:line="282" w:lineRule="auto"/>
        <w:rPr>
          <w:sz w:val="20"/>
          <w:szCs w:val="20"/>
          <w:color w:val="auto"/>
        </w:rPr>
      </w:pPr>
      <w:r>
        <w:rPr>
          <w:rFonts w:ascii="Times New Roman" w:cs="Times New Roman" w:eastAsia="Times New Roman" w:hAnsi="Times New Roman"/>
          <w:sz w:val="21"/>
          <w:szCs w:val="21"/>
          <w:b w:val="1"/>
          <w:bCs w:val="1"/>
          <w:i w:val="1"/>
          <w:iCs w:val="1"/>
          <w:color w:val="363636"/>
        </w:rPr>
        <w:t xml:space="preserve">"Performance </w:t>
      </w:r>
      <w:r>
        <w:rPr>
          <w:rFonts w:ascii="Times New Roman" w:cs="Times New Roman" w:eastAsia="Times New Roman" w:hAnsi="Times New Roman"/>
          <w:sz w:val="21"/>
          <w:szCs w:val="21"/>
          <w:b w:val="1"/>
          <w:bCs w:val="1"/>
          <w:i w:val="1"/>
          <w:iCs w:val="1"/>
          <w:color w:val="232323"/>
        </w:rPr>
        <w:t>Goals"</w:t>
      </w:r>
      <w:r>
        <w:rPr>
          <w:rFonts w:ascii="Times New Roman" w:cs="Times New Roman" w:eastAsia="Times New Roman" w:hAnsi="Times New Roman"/>
          <w:sz w:val="21"/>
          <w:szCs w:val="21"/>
          <w:b w:val="1"/>
          <w:bCs w:val="1"/>
          <w:i w:val="1"/>
          <w:iCs w:val="1"/>
          <w:color w:val="363636"/>
        </w:rPr>
        <w:t xml:space="preserve"> </w:t>
      </w:r>
      <w:r>
        <w:rPr>
          <w:rFonts w:ascii="Times New Roman" w:cs="Times New Roman" w:eastAsia="Times New Roman" w:hAnsi="Times New Roman"/>
          <w:sz w:val="21"/>
          <w:szCs w:val="21"/>
          <w:color w:val="232323"/>
        </w:rPr>
        <w:t>means the objectives established by the Committee for a Performance Cycle for the purpose of</w:t>
      </w:r>
      <w:r>
        <w:rPr>
          <w:rFonts w:ascii="Times New Roman" w:cs="Times New Roman" w:eastAsia="Times New Roman" w:hAnsi="Times New Roman"/>
          <w:sz w:val="21"/>
          <w:szCs w:val="21"/>
          <w:b w:val="1"/>
          <w:bCs w:val="1"/>
          <w:i w:val="1"/>
          <w:iCs w:val="1"/>
          <w:color w:val="363636"/>
        </w:rPr>
        <w:t xml:space="preserve"> </w:t>
      </w:r>
      <w:r>
        <w:rPr>
          <w:rFonts w:ascii="Times New Roman" w:cs="Times New Roman" w:eastAsia="Times New Roman" w:hAnsi="Times New Roman"/>
          <w:sz w:val="21"/>
          <w:szCs w:val="21"/>
          <w:color w:val="232323"/>
        </w:rPr>
        <w:t>determining the extent to which an Award has been earned or vested.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32323"/>
        </w:rPr>
        <w:t xml:space="preserve">"Qualifying Termination" </w:t>
      </w:r>
      <w:r>
        <w:rPr>
          <w:rFonts w:ascii="Times New Roman" w:cs="Times New Roman" w:eastAsia="Times New Roman" w:hAnsi="Times New Roman"/>
          <w:sz w:val="21"/>
          <w:szCs w:val="21"/>
          <w:color w:val="232323"/>
        </w:rPr>
        <w:t>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1042670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660" w:top="1408" w:right="699" w:bottom="1440" w:gutter="0" w:footer="0" w:header="0"/>
        </w:sectPr>
      </w:pPr>
    </w:p>
    <w:bookmarkStart w:id="79" w:name="page80"/>
    <w:bookmarkEnd w:id="79"/>
    <w:p>
      <w:pPr>
        <w:jc w:val="both"/>
        <w:ind w:left="60" w:right="40" w:firstLine="2194"/>
        <w:spacing w:after="0" w:line="244" w:lineRule="auto"/>
        <w:tabs>
          <w:tab w:leader="none" w:pos="2666" w:val="left"/>
        </w:tabs>
        <w:numPr>
          <w:ilvl w:val="0"/>
          <w:numId w:val="72"/>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at any time within the period commencing on the date of the consummation of a Change in Control and ending twenty-four (24) months thereafter, the Executive's employment is terminated (A) involuntarily for any reason other than Cause, or death or (B) by the Executive for Good Reason; or</w:t>
      </w:r>
    </w:p>
    <w:p>
      <w:pPr>
        <w:spacing w:after="0" w:line="173" w:lineRule="exact"/>
        <w:rPr>
          <w:rFonts w:ascii="Times New Roman" w:cs="Times New Roman" w:eastAsia="Times New Roman" w:hAnsi="Times New Roman"/>
          <w:sz w:val="22"/>
          <w:szCs w:val="22"/>
          <w:color w:val="232323"/>
        </w:rPr>
      </w:pPr>
    </w:p>
    <w:p>
      <w:pPr>
        <w:jc w:val="both"/>
        <w:ind w:left="60" w:right="40" w:firstLine="2253"/>
        <w:spacing w:after="0" w:line="238" w:lineRule="auto"/>
        <w:tabs>
          <w:tab w:leader="none" w:pos="2756" w:val="left"/>
        </w:tabs>
        <w:numPr>
          <w:ilvl w:val="1"/>
          <w:numId w:val="72"/>
        </w:numPr>
        <w:rPr>
          <w:rFonts w:ascii="Times New Roman" w:cs="Times New Roman" w:eastAsia="Times New Roman" w:hAnsi="Times New Roman"/>
          <w:sz w:val="22"/>
          <w:szCs w:val="22"/>
          <w:color w:val="232323"/>
        </w:rPr>
      </w:pPr>
      <w:r>
        <w:rPr>
          <w:rFonts w:ascii="Times New Roman" w:cs="Times New Roman" w:eastAsia="Times New Roman" w:hAnsi="Times New Roman"/>
          <w:sz w:val="22"/>
          <w:szCs w:val="22"/>
          <w:color w:val="232323"/>
        </w:rPr>
        <w:t>at any time following the date the Company or any of its Affiliates enters into a Sale Agreement with a third party and prior to the date of the consummation of the Change in Control pursuant to such Sale Agreement (and at a time the Company or any of its Affiliates has not terminated the Sale Agreement or otherwise abandoned the applicable transaction), the Executive's employment is terminated (A) involuntarily for any reason other than Cause, or death, or (B) by the Executive for Good Reason.</w:t>
      </w:r>
    </w:p>
    <w:p>
      <w:pPr>
        <w:spacing w:after="0" w:line="177" w:lineRule="exact"/>
        <w:rPr>
          <w:sz w:val="20"/>
          <w:szCs w:val="20"/>
          <w:color w:val="auto"/>
        </w:rPr>
      </w:pPr>
    </w:p>
    <w:p>
      <w:pPr>
        <w:jc w:val="both"/>
        <w:ind w:left="60" w:right="580" w:hanging="6"/>
        <w:spacing w:after="0" w:line="261"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"Retention Bonus Agreement" </w:t>
      </w:r>
      <w:r>
        <w:rPr>
          <w:rFonts w:ascii="Times New Roman" w:cs="Times New Roman" w:eastAsia="Times New Roman" w:hAnsi="Times New Roman"/>
          <w:sz w:val="21"/>
          <w:szCs w:val="21"/>
          <w:color w:val="232323"/>
        </w:rPr>
        <w:t>means that certain Retention Bonus Agreement dated on or about the date hereof, by</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and between the Company and Executive, as amended from time to time, most recently by Addendum to Retention Bonus Agreement (Assignment of Agreement) of September 1, 2026.</w:t>
      </w:r>
    </w:p>
    <w:p>
      <w:pPr>
        <w:spacing w:after="0" w:line="184" w:lineRule="exact"/>
        <w:rPr>
          <w:sz w:val="20"/>
          <w:szCs w:val="20"/>
          <w:color w:val="auto"/>
        </w:rPr>
      </w:pPr>
    </w:p>
    <w:p>
      <w:pPr>
        <w:ind w:left="40" w:right="200" w:hanging="6"/>
        <w:spacing w:after="0" w:line="261"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"Sale Agreement" </w:t>
      </w:r>
      <w:r>
        <w:rPr>
          <w:rFonts w:ascii="Times New Roman" w:cs="Times New Roman" w:eastAsia="Times New Roman" w:hAnsi="Times New Roman"/>
          <w:sz w:val="21"/>
          <w:szCs w:val="21"/>
          <w:color w:val="232323"/>
        </w:rPr>
        <w:t>means an executed agreement that, if consummated, would result in a Change in Control. For the</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avoidance of doubt, a term sheet, letter of intent, or similar preliminary agreement shall not constitute a Sale Agreement hereunder.</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i w:val="1"/>
          <w:iCs w:val="1"/>
          <w:color w:val="232323"/>
        </w:rPr>
        <w:t xml:space="preserve">"Severance Period" </w:t>
      </w:r>
      <w:r>
        <w:rPr>
          <w:rFonts w:ascii="Times New Roman" w:cs="Times New Roman" w:eastAsia="Times New Roman" w:hAnsi="Times New Roman"/>
          <w:sz w:val="21"/>
          <w:szCs w:val="21"/>
          <w:color w:val="232323"/>
        </w:rPr>
        <w:t>shall mean 18 months.</w:t>
      </w:r>
    </w:p>
    <w:p>
      <w:pPr>
        <w:spacing w:after="0" w:line="258" w:lineRule="exact"/>
        <w:rPr>
          <w:sz w:val="20"/>
          <w:szCs w:val="20"/>
          <w:color w:val="auto"/>
        </w:rPr>
      </w:pPr>
    </w:p>
    <w:p>
      <w:pPr>
        <w:jc w:val="both"/>
        <w:ind w:left="40" w:right="60" w:hanging="26"/>
        <w:spacing w:after="0" w:line="261"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"Subsidiary" </w:t>
      </w:r>
      <w:r>
        <w:rPr>
          <w:rFonts w:ascii="Times New Roman" w:cs="Times New Roman" w:eastAsia="Times New Roman" w:hAnsi="Times New Roman"/>
          <w:sz w:val="21"/>
          <w:szCs w:val="21"/>
          <w:color w:val="232323"/>
        </w:rPr>
        <w:t>means any corporation, limited liability company or other Person in which the Company, directly or</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indirectly, holds a majority of the voting power of such entity's outstanding shares of capital stock, membership interests or other equity interests.</w:t>
      </w:r>
    </w:p>
    <w:p>
      <w:pPr>
        <w:spacing w:after="0" w:line="157" w:lineRule="exact"/>
        <w:rPr>
          <w:sz w:val="20"/>
          <w:szCs w:val="20"/>
          <w:color w:val="auto"/>
        </w:rPr>
      </w:pPr>
    </w:p>
    <w:p>
      <w:pPr>
        <w:jc w:val="both"/>
        <w:ind w:left="20" w:right="60" w:hanging="20"/>
        <w:spacing w:after="0" w:line="255"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"Target Bonus" </w:t>
      </w:r>
      <w:r>
        <w:rPr>
          <w:rFonts w:ascii="Times New Roman" w:cs="Times New Roman" w:eastAsia="Times New Roman" w:hAnsi="Times New Roman"/>
          <w:sz w:val="21"/>
          <w:szCs w:val="21"/>
          <w:color w:val="232323"/>
        </w:rPr>
        <w:t>means the target bonus, determined by multiplying an agreed-upon percentage times Base Salary, for</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which Executive is eligible under the Employment Agreement in relation to the Annual Bonus Plan or other Additional Agreement, in each case, at the percentage in effect (or required to be in effect before any diminution that is a basis of the Executive's termination for Good Reason) on the Date of Termination.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"Voting Power" </w:t>
      </w:r>
      <w:r>
        <w:rPr>
          <w:rFonts w:ascii="Times New Roman" w:cs="Times New Roman" w:eastAsia="Times New Roman" w:hAnsi="Times New Roman"/>
          <w:sz w:val="21"/>
          <w:szCs w:val="21"/>
          <w:color w:val="232323"/>
        </w:rPr>
        <w:t>when used in the definition of Change in Control shall mean such specified number of the Voting</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Securities as shall enable the holders thereof to cash such percentage of all the votes which would be case in an annual election of directors.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b w:val="1"/>
          <w:bCs w:val="1"/>
          <w:i w:val="1"/>
          <w:iCs w:val="1"/>
          <w:color w:val="232323"/>
        </w:rPr>
        <w:t xml:space="preserve">"Voting Securities" </w:t>
      </w:r>
      <w:r>
        <w:rPr>
          <w:rFonts w:ascii="Times New Roman" w:cs="Times New Roman" w:eastAsia="Times New Roman" w:hAnsi="Times New Roman"/>
          <w:sz w:val="21"/>
          <w:szCs w:val="21"/>
          <w:color w:val="232323"/>
        </w:rPr>
        <w:t>shall mean all securities of a company entitling the holders thereof to vote in an annual election of</w:t>
      </w:r>
      <w:r>
        <w:rPr>
          <w:rFonts w:ascii="Times New Roman" w:cs="Times New Roman" w:eastAsia="Times New Roman" w:hAnsi="Times New Roman"/>
          <w:sz w:val="21"/>
          <w:szCs w:val="21"/>
          <w:b w:val="1"/>
          <w:bCs w:val="1"/>
          <w:i w:val="1"/>
          <w:iCs w:val="1"/>
          <w:color w:val="232323"/>
        </w:rPr>
        <w:t xml:space="preserve"> </w:t>
      </w:r>
      <w:r>
        <w:rPr>
          <w:rFonts w:ascii="Times New Roman" w:cs="Times New Roman" w:eastAsia="Times New Roman" w:hAnsi="Times New Roman"/>
          <w:sz w:val="21"/>
          <w:szCs w:val="21"/>
          <w:color w:val="232323"/>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1221740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620" w:top="1408" w:right="659" w:bottom="1440" w:gutter="0" w:footer="0" w:header="0"/>
        </w:sectPr>
      </w:pPr>
    </w:p>
    <w:bookmarkStart w:id="80" w:name="page81"/>
    <w:bookmarkEnd w:id="80"/>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232323"/>
        </w:rPr>
        <w:t>The parties have executed this Agreement on the date first written above, effective as of the Effective Date.</w:t>
      </w:r>
    </w:p>
    <w:p>
      <w:pPr>
        <w:sectPr>
          <w:pgSz w:w="11900" w:h="16838" w:orient="portrait"/>
          <w:cols w:equalWidth="0" w:num="1">
            <w:col w:w="9759"/>
          </w:cols>
          <w:pgMar w:left="7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232323"/>
              </w:rPr>
              <w:t>COMPANY:</w:t>
            </w:r>
          </w:p>
        </w:tc>
        <w:tc>
          <w:tcPr>
            <w:tcW w:w="3020" w:type="dxa"/>
            <w:vAlign w:val="bottom"/>
            <w:gridSpan w:val="2"/>
          </w:tcPr>
          <w:p>
            <w:pPr>
              <w:ind w:left="960"/>
              <w:spacing w:after="0"/>
              <w:rPr>
                <w:sz w:val="20"/>
                <w:szCs w:val="20"/>
                <w:color w:val="auto"/>
              </w:rPr>
            </w:pPr>
            <w:r>
              <w:rPr>
                <w:rFonts w:ascii="Times New Roman" w:cs="Times New Roman" w:eastAsia="Times New Roman" w:hAnsi="Times New Roman"/>
                <w:sz w:val="22"/>
                <w:szCs w:val="22"/>
                <w:b w:val="1"/>
                <w:bCs w:val="1"/>
                <w:color w:val="232323"/>
              </w:rPr>
              <w:t>EXECUTIVE:</w:t>
            </w:r>
          </w:p>
        </w:tc>
      </w:tr>
      <w:tr>
        <w:trPr>
          <w:trHeight w:val="447"/>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2323"/>
              </w:rPr>
              <w:t>GOGO INC.</w:t>
            </w:r>
          </w:p>
        </w:tc>
        <w:tc>
          <w:tcPr>
            <w:tcW w:w="30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232323"/>
              </w:rPr>
              <w:t>MICHAEL CHRISTENSEN</w:t>
            </w:r>
          </w:p>
        </w:tc>
      </w:tr>
      <w:tr>
        <w:trPr>
          <w:trHeight w:val="662"/>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232323"/>
              </w:rPr>
              <w:t>/s/ Crystal L. Gordon</w:t>
            </w:r>
          </w:p>
        </w:tc>
        <w:tc>
          <w:tcPr>
            <w:tcW w:w="30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232323"/>
                <w:w w:val="98"/>
              </w:rPr>
              <w:t>/s/ Michael Christensen</w:t>
            </w:r>
          </w:p>
        </w:tc>
      </w:tr>
      <w:tr>
        <w:trPr>
          <w:trHeight w:val="218"/>
        </w:trPr>
        <w:tc>
          <w:tcPr>
            <w:tcW w:w="1520" w:type="dxa"/>
            <w:vAlign w:val="bottom"/>
            <w:tcBorders>
              <w:top w:val="single" w:sz="8" w:color="232323"/>
            </w:tcBorders>
          </w:tcPr>
          <w:p>
            <w:pPr>
              <w:spacing w:after="0"/>
              <w:rPr>
                <w:sz w:val="20"/>
                <w:szCs w:val="20"/>
                <w:color w:val="auto"/>
              </w:rPr>
            </w:pPr>
            <w:r>
              <w:rPr>
                <w:rFonts w:ascii="Times New Roman" w:cs="Times New Roman" w:eastAsia="Times New Roman" w:hAnsi="Times New Roman"/>
                <w:sz w:val="18"/>
                <w:szCs w:val="18"/>
                <w:color w:val="232323"/>
              </w:rPr>
              <w:t>Crystal L. Gordon</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tcBorders>
              <w:top w:val="single" w:sz="8" w:color="232323"/>
            </w:tcBorders>
          </w:tcPr>
          <w:p>
            <w:pPr>
              <w:spacing w:after="0"/>
              <w:rPr>
                <w:sz w:val="18"/>
                <w:szCs w:val="18"/>
                <w:color w:val="auto"/>
              </w:rPr>
            </w:pPr>
          </w:p>
        </w:tc>
      </w:tr>
      <w:tr>
        <w:trPr>
          <w:trHeight w:val="234"/>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232323"/>
              </w:rPr>
              <w:t>EVP, General Counsel,</w:t>
            </w:r>
          </w:p>
        </w:tc>
        <w:tc>
          <w:tcPr>
            <w:tcW w:w="132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232323"/>
        </w:rPr>
        <w:t>Chief Administrative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i w:val="1"/>
          <w:iCs w:val="1"/>
          <w:color w:val="2A2A2A"/>
        </w:rPr>
        <w:t xml:space="preserve">Signature Page </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i w:val="1"/>
          <w:iCs w:val="1"/>
          <w:color w:val="2A2A2A"/>
        </w:rPr>
        <w:t xml:space="preserve"> Change in Control Severance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897255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440" w:right="1440" w:bottom="1440" w:gutter="0" w:footer="0" w:header="0"/>
          <w:type w:val="continuous"/>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Christopher Moore, certify that:</w:t>
      </w:r>
    </w:p>
    <w:p>
      <w:pPr>
        <w:spacing w:after="0" w:line="81"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20" w:right="360" w:hanging="512"/>
        <w:spacing w:after="0" w:line="281" w:lineRule="auto"/>
        <w:tabs>
          <w:tab w:leader="none" w:pos="3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480" w:hanging="479"/>
        <w:spacing w:after="0" w:line="281" w:lineRule="auto"/>
        <w:tabs>
          <w:tab w:leader="none" w:pos="8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3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November 6, 2026</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tab/>
        <w:t>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7469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Zachary Cotner, certify that:</w:t>
      </w:r>
    </w:p>
    <w:p>
      <w:pPr>
        <w:spacing w:after="0" w:line="81"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520" w:right="360" w:hanging="512"/>
        <w:spacing w:after="0" w:line="281" w:lineRule="auto"/>
        <w:tabs>
          <w:tab w:leader="none" w:pos="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480" w:hanging="479"/>
        <w:spacing w:after="0" w:line="281" w:lineRule="auto"/>
        <w:tabs>
          <w:tab w:leader="none" w:pos="89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520" w:right="280" w:hanging="512"/>
        <w:spacing w:after="0" w:line="281" w:lineRule="auto"/>
        <w:tabs>
          <w:tab w:leader="none" w:pos="3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 November 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Cotner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 Christopher Moore, Chief Executive Officer and Director of Gogo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60" w:right="880" w:hanging="378"/>
        <w:spacing w:after="0" w:line="282" w:lineRule="auto"/>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2026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382"/>
        <w:spacing w:after="0" w:line="500" w:lineRule="auto"/>
        <w:tabs>
          <w:tab w:leader="none" w:pos="7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6, 2026</w:t>
      </w:r>
    </w:p>
    <w:p>
      <w:pPr>
        <w:spacing w:after="0" w:line="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tab/>
        <w:t>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7469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 Zachary Cotner, Executive Vice President and Chief Financial Officer of Gogo Inc.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60" w:right="880" w:hanging="378"/>
        <w:spacing w:after="0" w:line="282"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2026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 November 6,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Cotner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decimal"/>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lvl w:ilvl="1">
      <w:lvlJc w:val="left"/>
      <w:lvlText w:val="▪"/>
      <w:numFmt w:val="bullet"/>
      <w:start w:val="1"/>
    </w:lvl>
  </w:abstractNum>
  <w:abstractNum w:abstractNumId="18">
    <w:nsid w:val="38437FDB"/>
    <w:multiLevelType w:val="hybridMultilevel"/>
    <w:lvl w:ilvl="0">
      <w:lvlJc w:val="left"/>
      <w:lvlText w:val="o"/>
      <w:numFmt w:val="bullet"/>
      <w:start w:val="1"/>
    </w:lvl>
    <w:lvl w:ilvl="1">
      <w:lvlJc w:val="left"/>
      <w:lvlText w:val="▪"/>
      <w:numFmt w:val="bullet"/>
      <w:start w:val="1"/>
    </w:lvl>
  </w:abstractNum>
  <w:abstractNum w:abstractNumId="19">
    <w:nsid w:val="7644A45C"/>
    <w:multiLevelType w:val="hybridMultilevel"/>
    <w:lvl w:ilvl="0">
      <w:lvlJc w:val="left"/>
      <w:lvlText w:val="(%1)"/>
      <w:numFmt w:val="lowerLetter"/>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o"/>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lowerLetter"/>
      <w:start w:val="2"/>
    </w:lvl>
  </w:abstractNum>
  <w:abstractNum w:abstractNumId="25">
    <w:nsid w:val="1BA026FA"/>
    <w:multiLevelType w:val="hybridMultilevel"/>
    <w:lvl w:ilvl="0">
      <w:lvlJc w:val="left"/>
      <w:lvlText w:val="%1)"/>
      <w:numFmt w:val="lowerLetter"/>
      <w:start w:val="1"/>
    </w:lvl>
  </w:abstractNum>
  <w:abstractNum w:abstractNumId="26">
    <w:nsid w:val="79A1DEAA"/>
    <w:multiLevelType w:val="hybridMultilevel"/>
    <w:lvl w:ilvl="0">
      <w:lvlJc w:val="left"/>
      <w:lvlText w:val="%1)"/>
      <w:numFmt w:val="lowerLetter"/>
      <w:start w:val="2"/>
    </w:lvl>
  </w:abstractNum>
  <w:abstractNum w:abstractNumId="27">
    <w:nsid w:val="75C6C33A"/>
    <w:multiLevelType w:val="hybridMultilevel"/>
    <w:lvl w:ilvl="0">
      <w:lvlJc w:val="left"/>
      <w:lvlText w:val="%1)"/>
      <w:numFmt w:val="lowerLetter"/>
      <w:start w:val="3"/>
    </w:lvl>
  </w:abstractNum>
  <w:abstractNum w:abstractNumId="28">
    <w:nsid w:val="12E685FB"/>
    <w:multiLevelType w:val="hybridMultilevel"/>
    <w:lvl w:ilvl="0">
      <w:lvlJc w:val="left"/>
      <w:lvlText w:val="%1)"/>
      <w:numFmt w:val="lowerLetter"/>
      <w:start w:val="1"/>
    </w:lvl>
  </w:abstractNum>
  <w:abstractNum w:abstractNumId="29">
    <w:nsid w:val="70C6A529"/>
    <w:multiLevelType w:val="hybridMultilevel"/>
    <w:lvl w:ilvl="0">
      <w:lvlJc w:val="left"/>
      <w:lvlText w:val="%1)"/>
      <w:numFmt w:val="lowerLetter"/>
      <w:start w:val="2"/>
    </w:lvl>
  </w:abstractNum>
  <w:abstractNum w:abstractNumId="30">
    <w:nsid w:val="520EEDD1"/>
    <w:multiLevelType w:val="hybridMultilevel"/>
    <w:lvl w:ilvl="0">
      <w:lvlJc w:val="left"/>
      <w:lvlText w:val="#"/>
      <w:numFmt w:val="bullet"/>
      <w:start w:val="1"/>
    </w:lvl>
    <w:lvl w:ilvl="1">
      <w:lvlJc w:val="left"/>
      <w:lvlText w:val="%2"/>
      <w:numFmt w:val="decimal"/>
      <w:start w:val="104"/>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lvl w:ilvl="1">
      <w:lvlJc w:val="left"/>
      <w:lvlText w:val="(%2)"/>
      <w:numFmt w:val="decimal"/>
      <w:start w:val="1"/>
    </w:lvl>
  </w:abstractNum>
  <w:abstractNum w:abstractNumId="33">
    <w:nsid w:val="23F9C13C"/>
    <w:multiLevelType w:val="hybridMultilevel"/>
    <w:lvl w:ilvl="0">
      <w:lvlJc w:val="left"/>
      <w:lvlText w:val="(%1)"/>
      <w:numFmt w:val="upperLetter"/>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2"/>
    </w:lvl>
  </w:abstractNum>
  <w:abstractNum w:abstractNumId="36">
    <w:nsid w:val="39386575"/>
    <w:multiLevelType w:val="hybridMultilevel"/>
    <w:lvl w:ilvl="0">
      <w:lvlJc w:val="left"/>
      <w:lvlText w:val="1"/>
      <w:numFmt w:val="bullet"/>
      <w:start w:val="1"/>
    </w:lvl>
  </w:abstractNum>
  <w:abstractNum w:abstractNumId="37">
    <w:nsid w:val="1CF10FD8"/>
    <w:multiLevelType w:val="hybridMultilevel"/>
    <w:lvl w:ilvl="0">
      <w:lvlJc w:val="left"/>
      <w:lvlText w:val="%1."/>
      <w:numFmt w:val="decimal"/>
      <w:start w:val="3"/>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decimal"/>
      <w:start w:val="4"/>
    </w:lvl>
  </w:abstractNum>
  <w:abstractNum w:abstractNumId="40">
    <w:nsid w:val="47398C89"/>
    <w:multiLevelType w:val="hybridMultilevel"/>
    <w:lvl w:ilvl="0">
      <w:lvlJc w:val="left"/>
      <w:lvlText w:val="1"/>
      <w:numFmt w:val="bullet"/>
      <w:start w:val="1"/>
    </w:lvl>
  </w:abstractNum>
  <w:abstractNum w:abstractNumId="41">
    <w:nsid w:val="354FE9F9"/>
    <w:multiLevelType w:val="hybridMultilevel"/>
    <w:lvl w:ilvl="0">
      <w:lvlJc w:val="left"/>
      <w:lvlText w:val="2"/>
      <w:numFmt w:val="bullet"/>
      <w:start w:val="1"/>
    </w:lvl>
  </w:abstractNum>
  <w:abstractNum w:abstractNumId="42">
    <w:nsid w:val="15B5AF5C"/>
    <w:multiLevelType w:val="hybridMultilevel"/>
    <w:lvl w:ilvl="0">
      <w:lvlJc w:val="left"/>
      <w:lvlText w:val="3"/>
      <w:numFmt w:val="bullet"/>
      <w:start w:val="1"/>
    </w:lvl>
  </w:abstractNum>
  <w:abstractNum w:abstractNumId="43">
    <w:nsid w:val="741226BB"/>
    <w:multiLevelType w:val="hybridMultilevel"/>
    <w:lvl w:ilvl="0">
      <w:lvlJc w:val="left"/>
      <w:lvlText w:val="%1."/>
      <w:numFmt w:val="decimal"/>
      <w:start w:val="5"/>
    </w:lvl>
  </w:abstractNum>
  <w:abstractNum w:abstractNumId="44">
    <w:nsid w:val="D34B6A8"/>
    <w:multiLevelType w:val="hybridMultilevel"/>
    <w:lvl w:ilvl="0">
      <w:lvlJc w:val="left"/>
      <w:lvlText w:val="(%1)"/>
      <w:numFmt w:val="lowerRoman"/>
      <w:start w:val="2"/>
    </w:lvl>
  </w:abstractNum>
  <w:abstractNum w:abstractNumId="45">
    <w:nsid w:val="10233C99"/>
    <w:multiLevelType w:val="hybridMultilevel"/>
    <w:lvl w:ilvl="0">
      <w:lvlJc w:val="left"/>
      <w:lvlText w:val="%1."/>
      <w:numFmt w:val="decimal"/>
      <w:start w:val="6"/>
    </w:lvl>
  </w:abstractNum>
  <w:abstractNum w:abstractNumId="46">
    <w:nsid w:val="3F6AB60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7">
    <w:nsid w:val="61574095"/>
    <w:multiLevelType w:val="hybridMultilevel"/>
    <w:lvl w:ilvl="0">
      <w:lvlJc w:val="left"/>
      <w:lvlText w:val="(%1)"/>
      <w:numFmt w:val="decimal"/>
      <w:start w:val="60"/>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48">
    <w:nsid w:val="7E0C57B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49">
    <w:nsid w:val="77AE35EB"/>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abstractNum>
  <w:abstractNum w:abstractNumId="50">
    <w:nsid w:val="579BE4F1"/>
    <w:multiLevelType w:val="hybridMultilevel"/>
    <w:lvl w:ilvl="0">
      <w:lvlJc w:val="left"/>
      <w:lvlText w:val="%1."/>
      <w:numFmt w:val="decimal"/>
      <w:start w:val="7"/>
    </w:lvl>
  </w:abstractNum>
  <w:abstractNum w:abstractNumId="51">
    <w:nsid w:val="310C50B3"/>
    <w:multiLevelType w:val="hybridMultilevel"/>
    <w:lvl w:ilvl="0">
      <w:lvlJc w:val="left"/>
      <w:lvlText w:val="%1"/>
      <w:numFmt w:val="decimal"/>
      <w:start w:val="105"/>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1)"/>
      <w:numFmt w:val="upperLetter"/>
      <w:start w:val="1"/>
    </w:lvl>
  </w:abstractNum>
  <w:abstractNum w:abstractNumId="55">
    <w:nsid w:val="1DBABF00"/>
    <w:multiLevelType w:val="hybridMultilevel"/>
    <w:lvl w:ilvl="0">
      <w:lvlJc w:val="left"/>
      <w:lvlText w:val="1"/>
      <w:numFmt w:val="bullet"/>
      <w:start w:val="1"/>
    </w:lvl>
  </w:abstractNum>
  <w:abstractNum w:abstractNumId="56">
    <w:nsid w:val="4AD084E9"/>
    <w:multiLevelType w:val="hybridMultilevel"/>
    <w:lvl w:ilvl="0">
      <w:lvlJc w:val="left"/>
      <w:lvlText w:val="2"/>
      <w:numFmt w:val="bullet"/>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3"/>
      <w:numFmt w:val="bullet"/>
      <w:start w:val="1"/>
    </w:lvl>
  </w:abstractNum>
  <w:abstractNum w:abstractNumId="59">
    <w:nsid w:val="5DB70AE5"/>
    <w:multiLevelType w:val="hybridMultilevel"/>
    <w:lvl w:ilvl="0">
      <w:lvlJc w:val="left"/>
      <w:lvlText w:val="4"/>
      <w:numFmt w:val="bullet"/>
      <w:start w:val="1"/>
    </w:lvl>
  </w:abstractNum>
  <w:abstractNum w:abstractNumId="60">
    <w:nsid w:val="100F8FCA"/>
    <w:multiLevelType w:val="hybridMultilevel"/>
    <w:lvl w:ilvl="0">
      <w:lvlJc w:val="left"/>
      <w:lvlText w:val="%1."/>
      <w:numFmt w:val="decimal"/>
      <w:start w:val="1"/>
    </w:lvl>
    <w:lvl w:ilvl="1">
      <w:lvlJc w:val="left"/>
      <w:lvlText w:val="%2."/>
      <w:numFmt w:val="decimal"/>
      <w:start w:val="2"/>
    </w:lvl>
  </w:abstractNum>
  <w:abstractNum w:abstractNumId="61">
    <w:nsid w:val="6590700B"/>
    <w:multiLevelType w:val="hybridMultilevel"/>
    <w:lvl w:ilvl="0">
      <w:lvlJc w:val="left"/>
      <w:lvlText w:val="%1"/>
      <w:numFmt w:val="decimal"/>
      <w:start w:val="1"/>
    </w:lvl>
    <w:lvl w:ilvl="1">
      <w:lvlJc w:val="left"/>
      <w:lvlText w:val="%2."/>
      <w:numFmt w:val="decimal"/>
      <w:start w:val="3"/>
    </w:lvl>
  </w:abstractNum>
  <w:abstractNum w:abstractNumId="62">
    <w:nsid w:val="15014ACB"/>
    <w:multiLevelType w:val="hybridMultilevel"/>
    <w:lvl w:ilvl="0">
      <w:lvlJc w:val="left"/>
      <w:lvlText w:val="%1."/>
      <w:numFmt w:val="decimal"/>
      <w:start w:val="4"/>
    </w:lvl>
    <w:lvl w:ilvl="1">
      <w:lvlJc w:val="left"/>
      <w:lvlText w:val="%2"/>
      <w:numFmt w:val="decimal"/>
      <w:start w:val="1"/>
    </w:lvl>
  </w:abstractNum>
  <w:abstractNum w:abstractNumId="63">
    <w:nsid w:val="5F5E7FD0"/>
    <w:multiLevelType w:val="hybridMultilevel"/>
    <w:lvl w:ilvl="0">
      <w:lvlJc w:val="left"/>
      <w:lvlText w:val="%1."/>
      <w:numFmt w:val="decimal"/>
      <w:start w:val="5"/>
    </w:lvl>
    <w:lvl w:ilvl="1">
      <w:lvlJc w:val="left"/>
      <w:lvlText w:val="%2."/>
      <w:numFmt w:val="decimal"/>
      <w:start w:val="6"/>
    </w:lvl>
    <w:lvl w:ilvl="2">
      <w:lvlJc w:val="left"/>
      <w:lvlText w:val="%3."/>
      <w:numFmt w:val="decimal"/>
      <w:start w:val="8"/>
    </w:lvl>
  </w:abstractNum>
  <w:abstractNum w:abstractNumId="64">
    <w:nsid w:val="98A3148"/>
    <w:multiLevelType w:val="hybridMultilevel"/>
    <w:lvl w:ilvl="0">
      <w:lvlJc w:val="left"/>
      <w:lvlText w:val="%1."/>
      <w:numFmt w:val="decimal"/>
      <w:start w:val="9"/>
    </w:lvl>
  </w:abstractNum>
  <w:abstractNum w:abstractNumId="65">
    <w:nsid w:val="799D0247"/>
    <w:multiLevelType w:val="hybridMultilevel"/>
    <w:lvl w:ilvl="0">
      <w:lvlJc w:val="left"/>
      <w:lvlText w:val="%1"/>
      <w:numFmt w:val="decimal"/>
      <w:start w:val="1"/>
    </w:lvl>
    <w:lvl w:ilvl="1">
      <w:lvlJc w:val="left"/>
      <w:lvlText w:val="%2."/>
      <w:numFmt w:val="decimal"/>
      <w:start w:val="10"/>
    </w:lvl>
    <w:lvl w:ilvl="2">
      <w:lvlJc w:val="left"/>
      <w:lvlText w:val="%3"/>
      <w:numFmt w:val="decimal"/>
      <w:start w:val="1"/>
    </w:lvl>
  </w:abstractNum>
  <w:abstractNum w:abstractNumId="66">
    <w:nsid w:val="6B94764"/>
    <w:multiLevelType w:val="hybridMultilevel"/>
    <w:lvl w:ilvl="0">
      <w:lvlJc w:val="left"/>
      <w:lvlText w:val="%1."/>
      <w:numFmt w:val="decimal"/>
      <w:start w:val="11"/>
    </w:lvl>
    <w:lvl w:ilvl="1">
      <w:lvlJc w:val="left"/>
      <w:lvlText w:val="%2"/>
      <w:numFmt w:val="decimal"/>
      <w:start w:val="1"/>
    </w:lvl>
    <w:lvl w:ilvl="2">
      <w:lvlJc w:val="left"/>
      <w:lvlText w:val="%3."/>
      <w:numFmt w:val="decimal"/>
      <w:start w:val="12"/>
    </w:lvl>
  </w:abstractNum>
  <w:abstractNum w:abstractNumId="67">
    <w:nsid w:val="42C296BD"/>
    <w:multiLevelType w:val="hybridMultilevel"/>
    <w:lvl w:ilvl="0">
      <w:lvlJc w:val="left"/>
      <w:lvlText w:val="%1"/>
      <w:numFmt w:val="decimal"/>
      <w:start w:val="1"/>
    </w:lvl>
    <w:lvl w:ilvl="1">
      <w:lvlJc w:val="left"/>
      <w:lvlText w:val="%2."/>
      <w:numFmt w:val="decimal"/>
      <w:start w:val="14"/>
    </w:lvl>
  </w:abstractNum>
  <w:abstractNum w:abstractNumId="68">
    <w:nsid w:val="168E121F"/>
    <w:multiLevelType w:val="hybridMultilevel"/>
    <w:lvl w:ilvl="0">
      <w:lvlJc w:val="left"/>
      <w:lvlText w:val="%1."/>
      <w:numFmt w:val="decimal"/>
      <w:start w:val="15"/>
    </w:lvl>
    <w:lvl w:ilvl="1">
      <w:lvlJc w:val="left"/>
      <w:lvlText w:val="%2"/>
      <w:numFmt w:val="decimal"/>
      <w:start w:val="1"/>
    </w:lvl>
  </w:abstractNum>
  <w:abstractNum w:abstractNumId="69">
    <w:nsid w:val="1EBA5D23"/>
    <w:multiLevelType w:val="hybridMultilevel"/>
    <w:lvl w:ilvl="0">
      <w:lvlJc w:val="left"/>
      <w:lvlText w:val="(%1)"/>
      <w:numFmt w:val="lowerRoman"/>
      <w:start w:val="1"/>
    </w:lvl>
  </w:abstractNum>
  <w:abstractNum w:abstractNumId="70">
    <w:nsid w:val="661E3F1E"/>
    <w:multiLevelType w:val="hybridMultilevel"/>
    <w:lvl w:ilvl="0">
      <w:lvlJc w:val="left"/>
      <w:lvlText w:val="(%1)"/>
      <w:numFmt w:val="decimal"/>
      <w:start w:val="90"/>
    </w:lvl>
  </w:abstractNum>
  <w:abstractNum w:abstractNumId="71">
    <w:nsid w:val="5DC79EA8"/>
    <w:multiLevelType w:val="hybridMultilevel"/>
    <w:lvl w:ilvl="0">
      <w:lvlJc w:val="left"/>
      <w:lvlText w:val="(%1)"/>
      <w:numFmt w:val="lowerRoman"/>
      <w:start w:val="1"/>
    </w:lvl>
    <w:lvl w:ilvl="1">
      <w:lvlJc w:val="left"/>
      <w:lvlText w:val="(%2)"/>
      <w:numFmt w:val="lowerRoman"/>
      <w:start w:val="2"/>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2026-11-06T15:30:47Z</dcterms:created>
  <dcterms:modified xsi:type="dcterms:W3CDTF">2026-11-06T15:30:47Z</dcterms:modified>
</cp:coreProperties>
</file>