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7763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763510"/>
                    </a:xfrm>
                    <a:prstGeom prst="rect">
                      <a:avLst/>
                    </a:prstGeom>
                    <a:noFill/>
                  </pic:spPr>
                </pic:pic>
              </a:graphicData>
            </a:graphic>
          </wp:anchor>
        </w:drawing>
      </w:r>
    </w:p>
    <w:p>
      <w:pPr>
        <w:spacing w:after="0" w:line="1162" w:lineRule="exact"/>
        <w:rPr>
          <w:sz w:val="24"/>
          <w:szCs w:val="24"/>
          <w:color w:val="auto"/>
        </w:rPr>
      </w:pPr>
    </w:p>
    <w:p>
      <w:pPr>
        <w:sectPr>
          <w:pgSz w:w="11900" w:h="16916"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GTCR Partners XII/A&amp;C LP</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Gogo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6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7" w:lineRule="exact"/>
        <w:rPr>
          <w:sz w:val="20"/>
          <w:szCs w:val="20"/>
          <w:color w:val="auto"/>
        </w:rPr>
      </w:pPr>
    </w:p>
    <w:p>
      <w:pPr>
        <w:sectPr>
          <w:pgSz w:w="11900" w:h="16916" w:orient="portrait"/>
          <w:cols w:equalWidth="0" w:num="2">
            <w:col w:w="7680" w:space="64"/>
            <w:col w:w="3336"/>
          </w:cols>
          <w:pgMar w:left="460" w:top="216" w:right="359" w:bottom="0" w:gutter="0" w:footer="0" w:header="0"/>
          <w:type w:val="continuous"/>
        </w:sectPr>
      </w:pP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60654</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916"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19,354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3"/>
                <w:szCs w:val="13"/>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19,354</w:t>
            </w:r>
          </w:p>
        </w:tc>
        <w:tc>
          <w:tcPr>
            <w:tcW w:w="3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138,984</w:t>
            </w: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580" w:type="dxa"/>
            <w:vAlign w:val="bottom"/>
            <w:vMerge w:val="continue"/>
          </w:tcPr>
          <w:p>
            <w:pPr>
              <w:spacing w:after="0"/>
              <w:rPr>
                <w:sz w:val="13"/>
                <w:szCs w:val="13"/>
                <w:color w:val="auto"/>
              </w:rPr>
            </w:pPr>
          </w:p>
        </w:tc>
        <w:tc>
          <w:tcPr>
            <w:tcW w:w="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008000"/>
                <w:w w:val="85"/>
              </w:rPr>
              <w:t>(3)(4)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ind w:left="80"/>
              <w:spacing w:after="0" w:line="114" w:lineRule="exact"/>
              <w:rPr>
                <w:sz w:val="20"/>
                <w:szCs w:val="20"/>
                <w:color w:val="auto"/>
              </w:rPr>
            </w:pPr>
            <w:r>
              <w:rPr>
                <w:rFonts w:ascii="Times New Roman" w:cs="Times New Roman" w:eastAsia="Times New Roman" w:hAnsi="Times New Roman"/>
                <w:sz w:val="13"/>
                <w:szCs w:val="13"/>
                <w:color w:val="0000FF"/>
                <w:w w:val="93"/>
              </w:rPr>
              <w:t>Footnotes</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GTCR Partners XII/A&amp;C LP</w:t>
              </w:r>
            </w:hyperlink>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GTCR Investment XII LLC</w:t>
              </w:r>
            </w:hyperlink>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300 NORTH LASALLE STREET</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5600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share unit represents the contingent right to receive one share of the Company's common stock.</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share units were granted on June 30, 2026 to Mr. Mark Anderson, a director of the Company, and immediately vest in full on the grant date. The deferred share units will be settled in shares of the Company's common stock following the director's termination of service on the Company's board of directors.</w:t>
      </w:r>
    </w:p>
    <w:p>
      <w:pPr>
        <w:spacing w:after="0" w:line="19" w:lineRule="exact"/>
        <w:rPr>
          <w:rFonts w:ascii="Times New Roman" w:cs="Times New Roman" w:eastAsia="Times New Roman" w:hAnsi="Times New Roman"/>
          <w:sz w:val="13"/>
          <w:szCs w:val="13"/>
          <w:color w:val="008000"/>
        </w:rPr>
      </w:pPr>
    </w:p>
    <w:p>
      <w:pPr>
        <w:ind w:left="40" w:right="34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Anderson is an employee of GTCR LLC, an affiliate of the Reporting Persons. Pursuant to the policies of certain GTCR-affiliated entities, Mr. Anderson must hold these securities on behalf of and for the benefit of the GTCR-affiliated entities. GTCR Partners XII/A&amp;C LP is the general partner of Silver (Equity) Holdings, LP and Silver (XII) Holdings, LP, each of which hold securities of the Company. GTCR Investment XII LLC is the general partner of GTCR Partners XII/A&amp;C LP. GTCR Investment XII LLC is managed by a six-member board of managers (the "GTCR Board of Managers"). Each of the Reporting Persons is a "director by deputization" for purposes of Section 16 of the Securities Exchange Act of 1934, as amended.</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and the individual members of the GTCR Board of Managers disclaims beneficial ownership of the securities reported herein, except to the extent of their pecuniary interest</w:t>
      </w:r>
    </w:p>
    <w:p>
      <w:pPr>
        <w:sectPr>
          <w:pgSz w:w="11900" w:h="1691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8000"/>
        </w:rPr>
        <w:t>therein, and this report shall not be deemed an admission that the Reporting Persons or Mr. Anderson is the beneficial owner of the securities for purposes of Section 16 or for any other purpose.</w:t>
      </w:r>
    </w:p>
    <w:p>
      <w:pPr>
        <w:sectPr>
          <w:pgSz w:w="11900" w:h="16838" w:orient="portrait"/>
          <w:cols w:equalWidth="0" w:num="1">
            <w:col w:w="9959"/>
          </w:cols>
          <w:pgMar w:left="500" w:top="127" w:right="1440" w:bottom="1440" w:gutter="0" w:footer="0" w:header="0"/>
        </w:sectPr>
      </w:pPr>
    </w:p>
    <w:p>
      <w:pPr>
        <w:spacing w:after="0" w:line="7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GTCR Partners XII/A&amp;C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243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GTCR Investment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123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35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Jeffrey S. Wright,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053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Jeffrey S. Wright,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56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567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GTCR Investment XII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96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By: /s/ Jeffrey S. Wright,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56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Jeffrey S. Wright,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56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567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8700" w:space="60"/>
            <w:col w:w="1199"/>
          </w:cols>
          <w:pgMar w:left="500" w:top="127" w:right="1440"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3" Type="http://schemas.openxmlformats.org/officeDocument/2006/relationships/hyperlink" Target="http://www.sec.gov/cgi-bin/browse-edgar?action=getcompany&amp;CIK=0001823990" TargetMode="External"/><Relationship Id="rId14" Type="http://schemas.openxmlformats.org/officeDocument/2006/relationships/hyperlink" Target="http://www.sec.gov/cgi-bin/browse-edgar?action=getcompany&amp;CIK=0001537054" TargetMode="External"/><Relationship Id="rId16" Type="http://schemas.openxmlformats.org/officeDocument/2006/relationships/hyperlink" Target="http://www.sec.gov/cgi-bin/browse-edgar?action=getcompany&amp;CIK=0001823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2026-07-02T16:14:53Z</dcterms:created>
  <dcterms:modified xsi:type="dcterms:W3CDTF">2026-07-02T16:14:53Z</dcterms:modified>
</cp:coreProperties>
</file>