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THORNE OAKLEIGH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FRONT ST., P.O. BOX 258</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MILLBROOK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12545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Gogo Inc.</w:t>
              </w:r>
            </w:hyperlink>
            <w:r>
              <w:rPr/>
              <w:t xml:space="preserve"> [ </w:t>
            </w:r>
            <w:r>
              <w:rPr>
                <w:rFonts w:ascii="Times;serif" w:hAnsi="Times;serif"/>
                <w:color w:val="0000FF"/>
                <w:sz w:val="24"/>
                <w:shd w:fill="FFFFFF" w:val="clear"/>
              </w:rPr>
              <w:t>GOGO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15,322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67,748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deferred share unit represents the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deferred share units were granted on June 30, 2026, and immediately vest in full on the grant date. The deferred share units will be settled in shares of the Company's common stock following the director's termination of service on the Company's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L. Gordon, Attorney-in-Fact for Oakleigh Thorne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35089" TargetMode="External"/><Relationship Id="rId5" Type="http://schemas.openxmlformats.org/officeDocument/2006/relationships/hyperlink" Target="http://www.sec.gov/cgi-bin/browse-edgar?action=getcompany&amp;CIK=00015370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3398</Characters>
  <CharactersWithSpaces>3967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